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E3A61" w:rsidRDefault="009B37DB">
      <w:pPr>
        <w:pStyle w:val="Titre1"/>
      </w:pPr>
      <w:bookmarkStart w:id="0" w:name="_gjdgxs" w:colFirst="0" w:colLast="0"/>
      <w:bookmarkStart w:id="1" w:name="30j0zll" w:colFirst="0" w:colLast="0"/>
      <w:bookmarkStart w:id="2" w:name="_GoBack"/>
      <w:bookmarkEnd w:id="0"/>
      <w:bookmarkEnd w:id="1"/>
      <w:bookmarkEnd w:id="2"/>
      <w:r>
        <w:rPr>
          <w:noProof/>
        </w:rPr>
        <w:drawing>
          <wp:inline distT="0" distB="0" distL="0" distR="0">
            <wp:extent cx="1552575" cy="1323975"/>
            <wp:effectExtent l="0" t="0" r="0" b="0"/>
            <wp:docPr id="1" name="image01.jpg" descr="C:\Users\Guillaume\Documents\Logos\LOGO-FNCCR plein_Sept 2012.jpg"/>
            <wp:cNvGraphicFramePr/>
            <a:graphic xmlns:a="http://schemas.openxmlformats.org/drawingml/2006/main">
              <a:graphicData uri="http://schemas.openxmlformats.org/drawingml/2006/picture">
                <pic:pic xmlns:pic="http://schemas.openxmlformats.org/drawingml/2006/picture">
                  <pic:nvPicPr>
                    <pic:cNvPr id="0" name="image01.jpg" descr="C:\Users\Guillaume\Documents\Logos\LOGO-FNCCR plein_Sept 2012.jpg"/>
                    <pic:cNvPicPr preferRelativeResize="0"/>
                  </pic:nvPicPr>
                  <pic:blipFill>
                    <a:blip r:embed="rId9"/>
                    <a:srcRect/>
                    <a:stretch>
                      <a:fillRect/>
                    </a:stretch>
                  </pic:blipFill>
                  <pic:spPr>
                    <a:xfrm>
                      <a:off x="0" y="0"/>
                      <a:ext cx="1552575" cy="1323975"/>
                    </a:xfrm>
                    <a:prstGeom prst="rect">
                      <a:avLst/>
                    </a:prstGeom>
                    <a:ln/>
                  </pic:spPr>
                </pic:pic>
              </a:graphicData>
            </a:graphic>
          </wp:inline>
        </w:drawing>
      </w:r>
    </w:p>
    <w:p w:rsidR="001E3A61" w:rsidRDefault="009B37DB">
      <w:pPr>
        <w:pStyle w:val="Titre1"/>
      </w:pPr>
      <w:r>
        <w:t>Contribution à la consultation publique de l’ARCEP portant sur l’analyse des marchés 3a, 3b et 4, marchés pertinents du haut et très haut débit fixe</w:t>
      </w:r>
    </w:p>
    <w:p w:rsidR="001E3A61" w:rsidRDefault="009B37DB">
      <w:pPr>
        <w:pStyle w:val="Sous-titre"/>
        <w:jc w:val="center"/>
      </w:pPr>
      <w:r>
        <w:rPr>
          <w:rFonts w:ascii="Yu Gothic" w:eastAsia="Yu Gothic" w:hAnsi="Yu Gothic" w:cs="Yu Gothic"/>
          <w:sz w:val="28"/>
          <w:szCs w:val="28"/>
        </w:rPr>
        <w:t>Synthèse de la contribution de la FNCCR</w:t>
      </w:r>
    </w:p>
    <w:p w:rsidR="001E3A61" w:rsidRDefault="009B37DB">
      <w:pPr>
        <w:pStyle w:val="Titre2"/>
      </w:pPr>
      <w:r>
        <w:t>Remarques liminaires</w:t>
      </w:r>
    </w:p>
    <w:p w:rsidR="001E3A61" w:rsidRDefault="009B37DB">
      <w:pPr>
        <w:spacing w:before="0" w:line="276" w:lineRule="auto"/>
        <w:rPr>
          <w:rFonts w:ascii="Ebrima" w:eastAsia="Ebrima" w:hAnsi="Ebrima" w:cs="Ebrima"/>
          <w:sz w:val="20"/>
          <w:szCs w:val="20"/>
        </w:rPr>
      </w:pPr>
      <w:r>
        <w:rPr>
          <w:rFonts w:ascii="Ebrima" w:eastAsia="Ebrima" w:hAnsi="Ebrima" w:cs="Ebrima"/>
          <w:sz w:val="20"/>
          <w:szCs w:val="20"/>
        </w:rPr>
        <w:t>Après le cuivre et les infrastructures d’accueil, une régulation asymétrique</w:t>
      </w:r>
      <w:r w:rsidR="009A77AE">
        <w:rPr>
          <w:rFonts w:ascii="Ebrima" w:eastAsia="Ebrima" w:hAnsi="Ebrima" w:cs="Ebrima"/>
          <w:sz w:val="20"/>
          <w:szCs w:val="20"/>
        </w:rPr>
        <w:t xml:space="preserve"> du marché de gros de la fibre </w:t>
      </w:r>
      <w:r w:rsidR="006976A3">
        <w:rPr>
          <w:rFonts w:ascii="Ebrima" w:eastAsia="Ebrima" w:hAnsi="Ebrima" w:cs="Ebrima"/>
          <w:sz w:val="20"/>
          <w:szCs w:val="20"/>
        </w:rPr>
        <w:t xml:space="preserve">est </w:t>
      </w:r>
      <w:r>
        <w:rPr>
          <w:rFonts w:ascii="Ebrima" w:eastAsia="Ebrima" w:hAnsi="Ebrima" w:cs="Ebrima"/>
          <w:sz w:val="20"/>
          <w:szCs w:val="20"/>
        </w:rPr>
        <w:t xml:space="preserve">réclamée par les autres opérateurs, souhaitant entrer sur le marché de détail </w:t>
      </w:r>
      <w:proofErr w:type="spellStart"/>
      <w:r>
        <w:rPr>
          <w:rFonts w:ascii="Ebrima" w:eastAsia="Ebrima" w:hAnsi="Ebrima" w:cs="Ebrima"/>
          <w:sz w:val="20"/>
          <w:szCs w:val="20"/>
        </w:rPr>
        <w:t>FttH</w:t>
      </w:r>
      <w:proofErr w:type="spellEnd"/>
      <w:r>
        <w:rPr>
          <w:rFonts w:ascii="Ebrima" w:eastAsia="Ebrima" w:hAnsi="Ebrima" w:cs="Ebrima"/>
          <w:sz w:val="20"/>
          <w:szCs w:val="20"/>
        </w:rPr>
        <w:t>. Mais les dernières orientations de</w:t>
      </w:r>
      <w:r w:rsidR="00E93A68">
        <w:rPr>
          <w:rFonts w:ascii="Ebrima" w:eastAsia="Ebrima" w:hAnsi="Ebrima" w:cs="Ebrima"/>
          <w:sz w:val="20"/>
          <w:szCs w:val="20"/>
        </w:rPr>
        <w:t xml:space="preserve"> la Commission E</w:t>
      </w:r>
      <w:r>
        <w:rPr>
          <w:rFonts w:ascii="Ebrima" w:eastAsia="Ebrima" w:hAnsi="Ebrima" w:cs="Ebrima"/>
          <w:sz w:val="20"/>
          <w:szCs w:val="20"/>
        </w:rPr>
        <w:t xml:space="preserve">uropéenne communiquées mi-septembre courant, en faveur des opérateurs investisseurs, vont à l’encontre de cette hypothèse. La </w:t>
      </w:r>
      <w:r w:rsidR="009A77AE">
        <w:rPr>
          <w:rFonts w:ascii="Ebrima" w:eastAsia="Ebrima" w:hAnsi="Ebrima" w:cs="Ebrima"/>
          <w:sz w:val="20"/>
          <w:szCs w:val="20"/>
        </w:rPr>
        <w:t>CE</w:t>
      </w:r>
      <w:r>
        <w:rPr>
          <w:rFonts w:ascii="Ebrima" w:eastAsia="Ebrima" w:hAnsi="Ebrima" w:cs="Ebrima"/>
          <w:sz w:val="20"/>
          <w:szCs w:val="20"/>
        </w:rPr>
        <w:t xml:space="preserve"> précise ainsi que « </w:t>
      </w:r>
      <w:r>
        <w:rPr>
          <w:rFonts w:ascii="Ebrima" w:eastAsia="Ebrima" w:hAnsi="Ebrima" w:cs="Ebrima"/>
          <w:i/>
          <w:sz w:val="20"/>
          <w:szCs w:val="20"/>
        </w:rPr>
        <w:t xml:space="preserve">le nouveau code réduit nettement le degré de réglementation lorsque des opérateurs concurrents </w:t>
      </w:r>
      <w:proofErr w:type="spellStart"/>
      <w:r>
        <w:rPr>
          <w:rFonts w:ascii="Ebrima" w:eastAsia="Ebrima" w:hAnsi="Ebrima" w:cs="Ebrima"/>
          <w:i/>
          <w:sz w:val="20"/>
          <w:szCs w:val="20"/>
        </w:rPr>
        <w:t>co</w:t>
      </w:r>
      <w:proofErr w:type="spellEnd"/>
      <w:r>
        <w:rPr>
          <w:rFonts w:ascii="Ebrima" w:eastAsia="Ebrima" w:hAnsi="Ebrima" w:cs="Ebrima"/>
          <w:i/>
          <w:sz w:val="20"/>
          <w:szCs w:val="20"/>
        </w:rPr>
        <w:t xml:space="preserve">-investissent dans des réseaux à très grande capacité. </w:t>
      </w:r>
      <w:r>
        <w:rPr>
          <w:rFonts w:ascii="Ebrima" w:eastAsia="Ebrima" w:hAnsi="Ebrima" w:cs="Ebrima"/>
          <w:sz w:val="20"/>
          <w:szCs w:val="20"/>
        </w:rPr>
        <w:t>» Elle plaide donc pour une dérégulation des réseaux fib</w:t>
      </w:r>
      <w:r w:rsidR="006976A3">
        <w:rPr>
          <w:rFonts w:ascii="Ebrima" w:eastAsia="Ebrima" w:hAnsi="Ebrima" w:cs="Ebrima"/>
          <w:sz w:val="20"/>
          <w:szCs w:val="20"/>
        </w:rPr>
        <w:t>re afin de soutenir l’innovation</w:t>
      </w:r>
      <w:r w:rsidR="00486F40">
        <w:rPr>
          <w:rFonts w:ascii="Ebrima" w:eastAsia="Ebrima" w:hAnsi="Ebrima" w:cs="Ebrima"/>
          <w:sz w:val="20"/>
          <w:szCs w:val="20"/>
        </w:rPr>
        <w:t xml:space="preserve"> et l’investissement</w:t>
      </w:r>
      <w:r w:rsidR="00D719D0">
        <w:rPr>
          <w:rFonts w:ascii="Ebrima" w:eastAsia="Ebrima" w:hAnsi="Ebrima" w:cs="Ebrima"/>
          <w:sz w:val="20"/>
          <w:szCs w:val="20"/>
        </w:rPr>
        <w:t xml:space="preserve">, ce qui devrait induire </w:t>
      </w:r>
      <w:r w:rsidR="009A77AE">
        <w:rPr>
          <w:rFonts w:ascii="Ebrima" w:eastAsia="Ebrima" w:hAnsi="Ebrima" w:cs="Ebrima"/>
          <w:sz w:val="20"/>
          <w:szCs w:val="20"/>
        </w:rPr>
        <w:t xml:space="preserve">à long terme </w:t>
      </w:r>
      <w:r w:rsidR="00D719D0">
        <w:rPr>
          <w:rFonts w:ascii="Ebrima" w:eastAsia="Ebrima" w:hAnsi="Ebrima" w:cs="Ebrima"/>
          <w:sz w:val="20"/>
          <w:szCs w:val="20"/>
        </w:rPr>
        <w:t>une contraction du nombre d’acteurs privés en France et en Europe.</w:t>
      </w:r>
    </w:p>
    <w:p w:rsidR="006976A3" w:rsidRDefault="006976A3" w:rsidP="009A77AE">
      <w:pPr>
        <w:spacing w:line="276" w:lineRule="auto"/>
      </w:pPr>
      <w:r>
        <w:rPr>
          <w:rFonts w:ascii="Ebrima" w:eastAsia="Ebrima" w:hAnsi="Ebrima" w:cs="Ebrima"/>
          <w:sz w:val="20"/>
          <w:szCs w:val="20"/>
        </w:rPr>
        <w:t xml:space="preserve">Le prochain cycle 2017-2020 sera le dernier avant l’entrée en vigueur du nouveau paquet télécom, la CE souhaitant une adoption en 2017 pour une transposition en 2020. </w:t>
      </w:r>
    </w:p>
    <w:p w:rsidR="001E3A61" w:rsidRDefault="009B37DB">
      <w:pPr>
        <w:pStyle w:val="Titre2"/>
      </w:pPr>
      <w:r>
        <w:t>Positions FNCCR</w:t>
      </w:r>
    </w:p>
    <w:p w:rsidR="00486F40" w:rsidRDefault="00486F40" w:rsidP="00486F40">
      <w:pPr>
        <w:spacing w:after="120" w:line="276" w:lineRule="auto"/>
      </w:pPr>
      <w:r>
        <w:rPr>
          <w:rFonts w:ascii="Ebrima" w:eastAsia="Ebrima" w:hAnsi="Ebrima" w:cs="Ebrima"/>
          <w:sz w:val="20"/>
          <w:szCs w:val="20"/>
        </w:rPr>
        <w:t>La consultation proposée par l’Autorité a une connotation très opérationnelle, plus que tarifaire</w:t>
      </w:r>
      <w:r w:rsidR="002070FD">
        <w:rPr>
          <w:rFonts w:ascii="Ebrima" w:eastAsia="Ebrima" w:hAnsi="Ebrima" w:cs="Ebrima"/>
          <w:sz w:val="20"/>
          <w:szCs w:val="20"/>
        </w:rPr>
        <w:t xml:space="preserve"> avec des thématiques comme</w:t>
      </w:r>
      <w:r>
        <w:rPr>
          <w:rFonts w:ascii="Ebrima" w:eastAsia="Ebrima" w:hAnsi="Ebrima" w:cs="Ebrima"/>
          <w:sz w:val="20"/>
          <w:szCs w:val="20"/>
        </w:rPr>
        <w:t> :</w:t>
      </w:r>
    </w:p>
    <w:p w:rsidR="00486F40" w:rsidRDefault="002070FD" w:rsidP="00486F40">
      <w:pPr>
        <w:numPr>
          <w:ilvl w:val="0"/>
          <w:numId w:val="4"/>
        </w:numPr>
        <w:spacing w:line="276" w:lineRule="auto"/>
        <w:ind w:hanging="360"/>
        <w:contextualSpacing/>
        <w:rPr>
          <w:sz w:val="20"/>
          <w:szCs w:val="20"/>
        </w:rPr>
      </w:pPr>
      <w:r>
        <w:rPr>
          <w:rFonts w:ascii="Ebrima" w:eastAsia="Ebrima" w:hAnsi="Ebrima" w:cs="Ebrima"/>
          <w:sz w:val="20"/>
          <w:szCs w:val="20"/>
        </w:rPr>
        <w:t>La m</w:t>
      </w:r>
      <w:r w:rsidR="00486F40">
        <w:rPr>
          <w:rFonts w:ascii="Ebrima" w:eastAsia="Ebrima" w:hAnsi="Ebrima" w:cs="Ebrima"/>
          <w:sz w:val="20"/>
          <w:szCs w:val="20"/>
        </w:rPr>
        <w:t xml:space="preserve">utualisation des </w:t>
      </w:r>
      <w:r>
        <w:rPr>
          <w:rFonts w:ascii="Ebrima" w:eastAsia="Ebrima" w:hAnsi="Ebrima" w:cs="Ebrima"/>
          <w:sz w:val="20"/>
          <w:szCs w:val="20"/>
        </w:rPr>
        <w:t>investissements et</w:t>
      </w:r>
      <w:r w:rsidR="00486F40">
        <w:rPr>
          <w:rFonts w:ascii="Ebrima" w:eastAsia="Ebrima" w:hAnsi="Ebrima" w:cs="Ebrima"/>
          <w:sz w:val="20"/>
          <w:szCs w:val="20"/>
        </w:rPr>
        <w:t xml:space="preserve"> des processus ;</w:t>
      </w:r>
    </w:p>
    <w:p w:rsidR="00486F40" w:rsidRDefault="002070FD" w:rsidP="00486F40">
      <w:pPr>
        <w:numPr>
          <w:ilvl w:val="0"/>
          <w:numId w:val="4"/>
        </w:numPr>
        <w:spacing w:before="0" w:line="276" w:lineRule="auto"/>
        <w:ind w:hanging="360"/>
        <w:contextualSpacing/>
        <w:rPr>
          <w:sz w:val="20"/>
          <w:szCs w:val="20"/>
        </w:rPr>
      </w:pPr>
      <w:r>
        <w:rPr>
          <w:rFonts w:ascii="Ebrima" w:eastAsia="Ebrima" w:hAnsi="Ebrima" w:cs="Ebrima"/>
          <w:sz w:val="20"/>
          <w:szCs w:val="20"/>
        </w:rPr>
        <w:t>La m</w:t>
      </w:r>
      <w:r w:rsidR="00486F40">
        <w:rPr>
          <w:rFonts w:ascii="Ebrima" w:eastAsia="Ebrima" w:hAnsi="Ebrima" w:cs="Ebrima"/>
          <w:sz w:val="20"/>
          <w:szCs w:val="20"/>
        </w:rPr>
        <w:t>utualisation des infrastructures d’accueil ;</w:t>
      </w:r>
    </w:p>
    <w:p w:rsidR="00486F40" w:rsidRDefault="00486F40" w:rsidP="00486F40">
      <w:pPr>
        <w:numPr>
          <w:ilvl w:val="0"/>
          <w:numId w:val="4"/>
        </w:numPr>
        <w:spacing w:before="0" w:line="276" w:lineRule="auto"/>
        <w:ind w:hanging="360"/>
        <w:contextualSpacing/>
        <w:rPr>
          <w:sz w:val="20"/>
          <w:szCs w:val="20"/>
        </w:rPr>
      </w:pPr>
      <w:r>
        <w:rPr>
          <w:rFonts w:ascii="Ebrima" w:eastAsia="Ebrima" w:hAnsi="Ebrima" w:cs="Ebrima"/>
          <w:sz w:val="20"/>
          <w:szCs w:val="20"/>
        </w:rPr>
        <w:t xml:space="preserve">Les infrastructures et le réseau de l’opérateur historique comme </w:t>
      </w:r>
      <w:r w:rsidR="00FC1BB1">
        <w:rPr>
          <w:rFonts w:ascii="Ebrima" w:eastAsia="Ebrima" w:hAnsi="Ebrima" w:cs="Ebrima"/>
          <w:sz w:val="20"/>
          <w:szCs w:val="20"/>
        </w:rPr>
        <w:t>socle</w:t>
      </w:r>
      <w:r>
        <w:rPr>
          <w:rFonts w:ascii="Ebrima" w:eastAsia="Ebrima" w:hAnsi="Ebrima" w:cs="Ebrima"/>
          <w:sz w:val="20"/>
          <w:szCs w:val="20"/>
        </w:rPr>
        <w:t xml:space="preserve"> des déploiements de la BLOM.</w:t>
      </w:r>
    </w:p>
    <w:p w:rsidR="00527D39" w:rsidRDefault="00486F40">
      <w:pPr>
        <w:spacing w:line="276" w:lineRule="auto"/>
        <w:rPr>
          <w:rFonts w:ascii="Ebrima" w:eastAsia="Ebrima" w:hAnsi="Ebrima" w:cs="Ebrima"/>
          <w:sz w:val="20"/>
          <w:szCs w:val="20"/>
        </w:rPr>
      </w:pPr>
      <w:r>
        <w:rPr>
          <w:rFonts w:ascii="Ebrima" w:eastAsia="Ebrima" w:hAnsi="Ebrima" w:cs="Ebrima"/>
          <w:sz w:val="20"/>
          <w:szCs w:val="20"/>
        </w:rPr>
        <w:t xml:space="preserve">La FNCCR considère également que les </w:t>
      </w:r>
      <w:r w:rsidR="00527D39">
        <w:rPr>
          <w:rFonts w:ascii="Ebrima" w:eastAsia="Ebrima" w:hAnsi="Ebrima" w:cs="Ebrima"/>
          <w:sz w:val="20"/>
          <w:szCs w:val="20"/>
        </w:rPr>
        <w:t xml:space="preserve">distorsions </w:t>
      </w:r>
      <w:r w:rsidR="00D3768C">
        <w:rPr>
          <w:rFonts w:ascii="Ebrima" w:eastAsia="Ebrima" w:hAnsi="Ebrima" w:cs="Ebrima"/>
          <w:sz w:val="20"/>
          <w:szCs w:val="20"/>
        </w:rPr>
        <w:t xml:space="preserve">concurrentielles </w:t>
      </w:r>
      <w:r>
        <w:rPr>
          <w:rFonts w:ascii="Ebrima" w:eastAsia="Ebrima" w:hAnsi="Ebrima" w:cs="Ebrima"/>
          <w:sz w:val="20"/>
          <w:szCs w:val="20"/>
        </w:rPr>
        <w:t xml:space="preserve">que subissent les opérateurs alternatifs et les RIP en particulier relèvent très souvent des </w:t>
      </w:r>
      <w:r w:rsidR="009A77AE">
        <w:rPr>
          <w:rFonts w:ascii="Ebrima" w:eastAsia="Ebrima" w:hAnsi="Ebrima" w:cs="Ebrima"/>
          <w:sz w:val="20"/>
          <w:szCs w:val="20"/>
        </w:rPr>
        <w:t>contraintes</w:t>
      </w:r>
      <w:r>
        <w:rPr>
          <w:rFonts w:ascii="Ebrima" w:eastAsia="Ebrima" w:hAnsi="Ebrima" w:cs="Ebrima"/>
          <w:sz w:val="20"/>
          <w:szCs w:val="20"/>
        </w:rPr>
        <w:t xml:space="preserve"> techniques</w:t>
      </w:r>
      <w:r w:rsidR="00504C95">
        <w:rPr>
          <w:rFonts w:ascii="Ebrima" w:eastAsia="Ebrima" w:hAnsi="Ebrima" w:cs="Ebrima"/>
          <w:sz w:val="20"/>
          <w:szCs w:val="20"/>
        </w:rPr>
        <w:t xml:space="preserve"> et</w:t>
      </w:r>
      <w:r>
        <w:rPr>
          <w:rFonts w:ascii="Ebrima" w:eastAsia="Ebrima" w:hAnsi="Ebrima" w:cs="Ebrima"/>
          <w:sz w:val="20"/>
          <w:szCs w:val="20"/>
        </w:rPr>
        <w:t xml:space="preserve"> opérationnelles</w:t>
      </w:r>
      <w:r w:rsidR="009A77AE">
        <w:rPr>
          <w:rFonts w:ascii="Ebrima" w:eastAsia="Ebrima" w:hAnsi="Ebrima" w:cs="Ebrima"/>
          <w:sz w:val="20"/>
          <w:szCs w:val="20"/>
        </w:rPr>
        <w:t xml:space="preserve"> qui leur sont imposées</w:t>
      </w:r>
      <w:r>
        <w:rPr>
          <w:rFonts w:ascii="Ebrima" w:eastAsia="Ebrima" w:hAnsi="Ebrima" w:cs="Ebrima"/>
          <w:sz w:val="20"/>
          <w:szCs w:val="20"/>
        </w:rPr>
        <w:t>.</w:t>
      </w:r>
    </w:p>
    <w:p w:rsidR="001E3A61" w:rsidRDefault="00D3768C">
      <w:pPr>
        <w:spacing w:line="276" w:lineRule="auto"/>
        <w:rPr>
          <w:rFonts w:ascii="Ebrima" w:eastAsia="Ebrima" w:hAnsi="Ebrima" w:cs="Ebrima"/>
          <w:sz w:val="20"/>
          <w:szCs w:val="20"/>
        </w:rPr>
      </w:pPr>
      <w:r>
        <w:rPr>
          <w:rFonts w:ascii="Ebrima" w:eastAsia="Ebrima" w:hAnsi="Ebrima" w:cs="Ebrima"/>
          <w:sz w:val="20"/>
          <w:szCs w:val="20"/>
        </w:rPr>
        <w:t>Ainsi</w:t>
      </w:r>
      <w:r w:rsidR="00504C95">
        <w:rPr>
          <w:rFonts w:ascii="Ebrima" w:eastAsia="Ebrima" w:hAnsi="Ebrima" w:cs="Ebrima"/>
          <w:sz w:val="20"/>
          <w:szCs w:val="20"/>
        </w:rPr>
        <w:t>, la FNCCR milite notamment pour la constitution d’une plate-forme de mutualisation des RIP, réseaux et infrastructures d’accueil des collectivités.</w:t>
      </w:r>
    </w:p>
    <w:p w:rsidR="001E3A61" w:rsidRDefault="009B37DB">
      <w:r>
        <w:br w:type="page"/>
      </w:r>
    </w:p>
    <w:p w:rsidR="001E3A61" w:rsidRDefault="009B37DB">
      <w:pPr>
        <w:pStyle w:val="Sous-titre"/>
        <w:jc w:val="center"/>
      </w:pPr>
      <w:r>
        <w:rPr>
          <w:rFonts w:ascii="Yu Gothic" w:eastAsia="Yu Gothic" w:hAnsi="Yu Gothic" w:cs="Yu Gothic"/>
          <w:sz w:val="28"/>
          <w:szCs w:val="28"/>
        </w:rPr>
        <w:lastRenderedPageBreak/>
        <w:t>Réponses détaillées de la FNCCR</w:t>
      </w:r>
    </w:p>
    <w:p w:rsidR="001E3A61" w:rsidRDefault="009B37DB">
      <w:pPr>
        <w:pStyle w:val="Titre2"/>
      </w:pPr>
      <w:r>
        <w:t>Partie 1 : Assurer une forte dynamique concurrentielle d’investissement dans le très haut débit</w:t>
      </w:r>
    </w:p>
    <w:tbl>
      <w:tblPr>
        <w:tblStyle w:val="a"/>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6"/>
        <w:gridCol w:w="7828"/>
      </w:tblGrid>
      <w:tr w:rsidR="003566ED" w:rsidRPr="003566ED" w:rsidTr="00D77EB1">
        <w:trPr>
          <w:trHeight w:val="1560"/>
        </w:trPr>
        <w:tc>
          <w:tcPr>
            <w:tcW w:w="1296" w:type="dxa"/>
            <w:vAlign w:val="center"/>
          </w:tcPr>
          <w:p w:rsidR="001E3A61" w:rsidRPr="003566ED" w:rsidRDefault="009B37DB" w:rsidP="003566ED">
            <w:pPr>
              <w:spacing w:line="276" w:lineRule="auto"/>
              <w:jc w:val="left"/>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Question 1</w:t>
            </w:r>
          </w:p>
        </w:tc>
        <w:tc>
          <w:tcPr>
            <w:tcW w:w="7828" w:type="dxa"/>
            <w:vAlign w:val="center"/>
          </w:tcPr>
          <w:p w:rsidR="001E3A61" w:rsidRPr="003566ED" w:rsidRDefault="009B37DB" w:rsidP="003566ED">
            <w:pPr>
              <w:spacing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L’Autorité invite d’ores et déjà les opérateurs à lui faire part de leur appréciation des conditions de raccordement et d’adduction des immeubles en zone très dense, ainsi que des éventuelles prestations supplémentaires qui pourraient être fournies par l’opérateur d’immeuble et qui leur sembleraient le cas échéant de nature à faciliter le raccordement des immeubles.</w:t>
            </w:r>
          </w:p>
        </w:tc>
      </w:tr>
    </w:tbl>
    <w:p w:rsidR="001E3A61" w:rsidRPr="003566ED" w:rsidRDefault="009B37DB" w:rsidP="003566ED">
      <w:pPr>
        <w:spacing w:line="276" w:lineRule="auto"/>
        <w:rPr>
          <w:rFonts w:ascii="Ebrima" w:hAnsi="Ebrima"/>
          <w:sz w:val="20"/>
          <w:szCs w:val="20"/>
        </w:rPr>
      </w:pPr>
      <w:r w:rsidRPr="003566ED">
        <w:rPr>
          <w:rFonts w:ascii="Ebrima" w:eastAsia="Ebrima" w:hAnsi="Ebrima" w:cs="Ebrima"/>
          <w:sz w:val="20"/>
          <w:szCs w:val="20"/>
        </w:rPr>
        <w:t xml:space="preserve">L’Autorité note dans son analyse et bilan des marchés de gros pertinents HD et THD que </w:t>
      </w:r>
      <w:r w:rsidRPr="003566ED">
        <w:rPr>
          <w:rFonts w:ascii="Ebrima" w:eastAsia="Ebrima" w:hAnsi="Ebrima" w:cs="Ebrima"/>
          <w:i/>
          <w:sz w:val="20"/>
          <w:szCs w:val="20"/>
        </w:rPr>
        <w:t xml:space="preserve">« le nombre [des] accès [à la boucle locale de cuivre] a par ailleurs entamé une décroissance au profit des accès à très haut débit sur réseaux en fibre optique et </w:t>
      </w:r>
      <w:r w:rsidRPr="003566ED">
        <w:rPr>
          <w:rFonts w:ascii="Ebrima" w:eastAsia="Ebrima" w:hAnsi="Ebrima" w:cs="Ebrima"/>
          <w:sz w:val="20"/>
          <w:szCs w:val="20"/>
        </w:rPr>
        <w:t>qu’au « </w:t>
      </w:r>
      <w:r w:rsidRPr="003566ED">
        <w:rPr>
          <w:rFonts w:ascii="Ebrima" w:eastAsia="Ebrima" w:hAnsi="Ebrima" w:cs="Ebrima"/>
          <w:i/>
          <w:sz w:val="20"/>
          <w:szCs w:val="20"/>
        </w:rPr>
        <w:t xml:space="preserve">31 mars 2016, Orange est l’opérateur commercial qui est en mesure de proposer une offre sur le plus grand nombre [90%] de logements éligibles au </w:t>
      </w:r>
      <w:proofErr w:type="spellStart"/>
      <w:r w:rsidRPr="003566ED">
        <w:rPr>
          <w:rFonts w:ascii="Ebrima" w:eastAsia="Ebrima" w:hAnsi="Ebrima" w:cs="Ebrima"/>
          <w:i/>
          <w:sz w:val="20"/>
          <w:szCs w:val="20"/>
        </w:rPr>
        <w:t>FttH</w:t>
      </w:r>
      <w:proofErr w:type="spellEnd"/>
      <w:r w:rsidRPr="003566ED">
        <w:rPr>
          <w:rFonts w:ascii="Ebrima" w:eastAsia="Ebrima" w:hAnsi="Ebrima" w:cs="Ebrima"/>
          <w:i/>
          <w:sz w:val="20"/>
          <w:szCs w:val="20"/>
        </w:rPr>
        <w:t xml:space="preserve">, tous parcs d’opérateurs d’infrastructure confondus. » </w:t>
      </w:r>
    </w:p>
    <w:p w:rsidR="001E3A61" w:rsidRPr="003566ED" w:rsidRDefault="009B37DB" w:rsidP="003566ED">
      <w:pPr>
        <w:spacing w:line="276" w:lineRule="auto"/>
        <w:rPr>
          <w:rFonts w:ascii="Ebrima" w:hAnsi="Ebrima"/>
          <w:sz w:val="20"/>
          <w:szCs w:val="20"/>
        </w:rPr>
      </w:pPr>
      <w:r w:rsidRPr="003566ED">
        <w:rPr>
          <w:rFonts w:ascii="Ebrima" w:eastAsia="Ebrima" w:hAnsi="Ebrima" w:cs="Ebrima"/>
          <w:sz w:val="20"/>
          <w:szCs w:val="20"/>
        </w:rPr>
        <w:t xml:space="preserve">Mieux encore, l’observatoire de l’Autorité montre que seulement 60% des prises </w:t>
      </w:r>
      <w:proofErr w:type="spellStart"/>
      <w:r w:rsidRPr="003566ED">
        <w:rPr>
          <w:rFonts w:ascii="Ebrima" w:eastAsia="Ebrima" w:hAnsi="Ebrima" w:cs="Ebrima"/>
          <w:sz w:val="20"/>
          <w:szCs w:val="20"/>
        </w:rPr>
        <w:t>FttH</w:t>
      </w:r>
      <w:proofErr w:type="spellEnd"/>
      <w:r w:rsidRPr="003566ED">
        <w:rPr>
          <w:rFonts w:ascii="Ebrima" w:eastAsia="Ebrima" w:hAnsi="Ebrima" w:cs="Ebrima"/>
          <w:sz w:val="20"/>
          <w:szCs w:val="20"/>
        </w:rPr>
        <w:t xml:space="preserve"> sont construites par mutualisation et 35% sont commercialisées par une FAI distinct de l’OI</w:t>
      </w:r>
      <w:r w:rsidRPr="003566ED">
        <w:rPr>
          <w:rFonts w:ascii="Ebrima" w:eastAsia="Ebrima" w:hAnsi="Ebrima" w:cs="Ebrima"/>
          <w:sz w:val="20"/>
          <w:szCs w:val="20"/>
          <w:vertAlign w:val="superscript"/>
        </w:rPr>
        <w:footnoteReference w:id="1"/>
      </w:r>
      <w:r w:rsidRPr="003566ED">
        <w:rPr>
          <w:rFonts w:ascii="Ebrima" w:eastAsia="Ebrima" w:hAnsi="Ebrima" w:cs="Ebrima"/>
          <w:sz w:val="20"/>
          <w:szCs w:val="20"/>
        </w:rPr>
        <w:t>.</w:t>
      </w:r>
      <w:r w:rsidRPr="003566ED">
        <w:rPr>
          <w:rFonts w:ascii="Ebrima" w:eastAsia="Ebrima" w:hAnsi="Ebrima" w:cs="Ebrima"/>
          <w:i/>
          <w:sz w:val="20"/>
          <w:szCs w:val="20"/>
        </w:rPr>
        <w:t xml:space="preserve"> </w:t>
      </w:r>
      <w:r w:rsidRPr="003566ED">
        <w:rPr>
          <w:rFonts w:ascii="Ebrima" w:eastAsia="Ebrima" w:hAnsi="Ebrima" w:cs="Ebrima"/>
          <w:sz w:val="20"/>
          <w:szCs w:val="20"/>
        </w:rPr>
        <w:t xml:space="preserve">Tout se passe comme si Orange reconstituait actuellement un nouveau monopole sur les marchés de gros et de détail </w:t>
      </w:r>
      <w:proofErr w:type="spellStart"/>
      <w:r w:rsidRPr="003566ED">
        <w:rPr>
          <w:rFonts w:ascii="Ebrima" w:eastAsia="Ebrima" w:hAnsi="Ebrima" w:cs="Ebrima"/>
          <w:sz w:val="20"/>
          <w:szCs w:val="20"/>
        </w:rPr>
        <w:t>FttH</w:t>
      </w:r>
      <w:proofErr w:type="spellEnd"/>
      <w:r w:rsidRPr="003566ED">
        <w:rPr>
          <w:rFonts w:ascii="Ebrima" w:eastAsia="Ebrima" w:hAnsi="Ebrima" w:cs="Ebrima"/>
          <w:sz w:val="20"/>
          <w:szCs w:val="20"/>
        </w:rPr>
        <w:t xml:space="preserve"> </w:t>
      </w:r>
      <w:r w:rsidRPr="003566ED">
        <w:rPr>
          <w:rFonts w:ascii="Ebrima" w:eastAsia="Ebrima" w:hAnsi="Ebrima" w:cs="Ebrima"/>
          <w:sz w:val="20"/>
          <w:szCs w:val="20"/>
          <w:u w:val="single"/>
        </w:rPr>
        <w:t>dans les zones urbaines ZTD et ZMD</w:t>
      </w:r>
      <w:r w:rsidRPr="003566ED">
        <w:rPr>
          <w:rFonts w:ascii="Ebrima" w:eastAsia="Ebrima" w:hAnsi="Ebrima" w:cs="Ebrima"/>
          <w:sz w:val="20"/>
          <w:szCs w:val="20"/>
        </w:rPr>
        <w:t xml:space="preserve">. </w:t>
      </w:r>
      <w:r w:rsidRPr="003566ED">
        <w:rPr>
          <w:rFonts w:ascii="Ebrima" w:eastAsia="Ebrima" w:hAnsi="Ebrima" w:cs="Ebrima"/>
          <w:b/>
          <w:sz w:val="20"/>
          <w:szCs w:val="20"/>
        </w:rPr>
        <w:t>La dynamique concurrentielle est en panne.</w:t>
      </w:r>
    </w:p>
    <w:p w:rsidR="007F716A" w:rsidRDefault="008434EA" w:rsidP="003566ED">
      <w:pPr>
        <w:spacing w:line="276" w:lineRule="auto"/>
        <w:rPr>
          <w:rFonts w:ascii="Ebrima" w:eastAsia="Ebrima" w:hAnsi="Ebrima" w:cs="Ebrima"/>
          <w:sz w:val="20"/>
          <w:szCs w:val="20"/>
        </w:rPr>
      </w:pPr>
      <w:r>
        <w:rPr>
          <w:rFonts w:ascii="Ebrima" w:eastAsia="Ebrima" w:hAnsi="Ebrima" w:cs="Ebrima"/>
          <w:sz w:val="20"/>
          <w:szCs w:val="20"/>
        </w:rPr>
        <w:t>Constat amer de</w:t>
      </w:r>
      <w:r w:rsidR="007F716A">
        <w:rPr>
          <w:rFonts w:ascii="Ebrima" w:eastAsia="Ebrima" w:hAnsi="Ebrima" w:cs="Ebrima"/>
          <w:sz w:val="20"/>
          <w:szCs w:val="20"/>
        </w:rPr>
        <w:t xml:space="preserve"> l</w:t>
      </w:r>
      <w:r>
        <w:rPr>
          <w:rFonts w:ascii="Ebrima" w:eastAsia="Ebrima" w:hAnsi="Ebrima" w:cs="Ebrima"/>
          <w:sz w:val="20"/>
          <w:szCs w:val="20"/>
        </w:rPr>
        <w:t>’échec de la régulation qui se traduit par l’</w:t>
      </w:r>
      <w:r w:rsidR="007F716A">
        <w:rPr>
          <w:rFonts w:ascii="Ebrima" w:eastAsia="Ebrima" w:hAnsi="Ebrima" w:cs="Ebrima"/>
          <w:sz w:val="20"/>
          <w:szCs w:val="20"/>
        </w:rPr>
        <w:t>abandon</w:t>
      </w:r>
      <w:r>
        <w:rPr>
          <w:rFonts w:ascii="Ebrima" w:eastAsia="Ebrima" w:hAnsi="Ebrima" w:cs="Ebrima"/>
          <w:sz w:val="20"/>
          <w:szCs w:val="20"/>
        </w:rPr>
        <w:t xml:space="preserve"> de</w:t>
      </w:r>
      <w:r w:rsidR="007F716A">
        <w:rPr>
          <w:rFonts w:ascii="Ebrima" w:eastAsia="Ebrima" w:hAnsi="Ebrima" w:cs="Ebrima"/>
          <w:sz w:val="20"/>
          <w:szCs w:val="20"/>
        </w:rPr>
        <w:t xml:space="preserve"> la régulation symétrique en faveur de la régulation asymétrique.</w:t>
      </w:r>
    </w:p>
    <w:p w:rsidR="001E3A61" w:rsidRPr="003566ED" w:rsidRDefault="009B37DB" w:rsidP="003566ED">
      <w:pPr>
        <w:spacing w:line="276" w:lineRule="auto"/>
        <w:rPr>
          <w:rFonts w:ascii="Ebrima" w:hAnsi="Ebrima"/>
          <w:sz w:val="20"/>
          <w:szCs w:val="20"/>
        </w:rPr>
      </w:pPr>
      <w:r w:rsidRPr="003566ED">
        <w:rPr>
          <w:rFonts w:ascii="Ebrima" w:eastAsia="Ebrima" w:hAnsi="Ebrima" w:cs="Ebrima"/>
          <w:sz w:val="20"/>
          <w:szCs w:val="20"/>
        </w:rPr>
        <w:t xml:space="preserve">L’Autorité suggère d’allonger la partie mutualisée des réseaux </w:t>
      </w:r>
      <w:proofErr w:type="spellStart"/>
      <w:r w:rsidRPr="003566ED">
        <w:rPr>
          <w:rFonts w:ascii="Ebrima" w:eastAsia="Ebrima" w:hAnsi="Ebrima" w:cs="Ebrima"/>
          <w:sz w:val="20"/>
          <w:szCs w:val="20"/>
        </w:rPr>
        <w:t>FttH</w:t>
      </w:r>
      <w:proofErr w:type="spellEnd"/>
      <w:r w:rsidRPr="003566ED">
        <w:rPr>
          <w:rFonts w:ascii="Ebrima" w:eastAsia="Ebrima" w:hAnsi="Ebrima" w:cs="Ebrima"/>
          <w:sz w:val="20"/>
          <w:szCs w:val="20"/>
        </w:rPr>
        <w:t xml:space="preserve"> en ZTD de sorte que les OI mettent en place des offres d’accès aux PM (donc aux immeubles) voire aux NRO/PRDM favorables à tous les FAI, quels que soient leurs objectifs sur l’échelle des investissements. C’est là sans doute la meilleure piste pour faire émerger des offres concurrentielles. </w:t>
      </w:r>
      <w:r w:rsidRPr="00134212">
        <w:rPr>
          <w:rFonts w:ascii="Ebrima" w:eastAsia="Ebrima" w:hAnsi="Ebrima" w:cs="Ebrima"/>
          <w:b/>
          <w:sz w:val="20"/>
          <w:szCs w:val="20"/>
        </w:rPr>
        <w:t>La FNCCR se félicite de la généralisation du cadre réglementaire de 2009 à l’ensemble du territoire, de bon sens même si la réaction est tardive.</w:t>
      </w:r>
    </w:p>
    <w:p w:rsidR="001E3A61" w:rsidRDefault="004E445F" w:rsidP="00DB1874">
      <w:pPr>
        <w:spacing w:after="120" w:line="276" w:lineRule="auto"/>
        <w:rPr>
          <w:rFonts w:ascii="Ebrima" w:eastAsia="Ebrima" w:hAnsi="Ebrima" w:cs="Ebrima"/>
          <w:sz w:val="20"/>
          <w:szCs w:val="20"/>
        </w:rPr>
      </w:pPr>
      <w:r>
        <w:rPr>
          <w:rFonts w:ascii="Ebrima" w:eastAsia="Ebrima" w:hAnsi="Ebrima" w:cs="Ebrima"/>
          <w:sz w:val="20"/>
          <w:szCs w:val="20"/>
        </w:rPr>
        <w:t>Dans la pratique</w:t>
      </w:r>
      <w:r w:rsidR="009B37DB" w:rsidRPr="003566ED">
        <w:rPr>
          <w:rFonts w:ascii="Ebrima" w:eastAsia="Ebrima" w:hAnsi="Ebrima" w:cs="Ebrima"/>
          <w:sz w:val="20"/>
          <w:szCs w:val="20"/>
        </w:rPr>
        <w:t>, il ne faut pas négliger la prime à l’opérateur intégré (historique) présent en tant qu’OI, qui se fait connaître et met en œuvre sa démarche commerciale très active auprès de son parc clients fixes et/ou mobiles. Déjà sur place, en avance et plus efficace que ses concurrents…</w:t>
      </w:r>
    </w:p>
    <w:tbl>
      <w:tblPr>
        <w:tblStyle w:val="a0"/>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6"/>
        <w:gridCol w:w="7828"/>
      </w:tblGrid>
      <w:tr w:rsidR="003566ED" w:rsidRPr="003566ED" w:rsidTr="00D77EB1">
        <w:tc>
          <w:tcPr>
            <w:tcW w:w="1296" w:type="dxa"/>
            <w:vAlign w:val="center"/>
          </w:tcPr>
          <w:p w:rsidR="001E3A61" w:rsidRPr="003566ED" w:rsidRDefault="009B37DB" w:rsidP="003566ED">
            <w:pPr>
              <w:spacing w:line="276" w:lineRule="auto"/>
              <w:jc w:val="left"/>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Question 2</w:t>
            </w:r>
          </w:p>
        </w:tc>
        <w:tc>
          <w:tcPr>
            <w:tcW w:w="7828" w:type="dxa"/>
            <w:vAlign w:val="center"/>
          </w:tcPr>
          <w:p w:rsidR="001E3A61" w:rsidRPr="003566ED" w:rsidRDefault="009B37DB" w:rsidP="003566ED">
            <w:pPr>
              <w:spacing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L’Autorité invite les contributeurs à réagir sur son analyse des risques concurrentiels sur les marchés de gros d’accès aux RIP que pourraient induire les éventuelles stratégies des opérateurs intégrés.</w:t>
            </w:r>
          </w:p>
        </w:tc>
      </w:tr>
    </w:tbl>
    <w:p w:rsidR="001E3A61" w:rsidRPr="003566ED" w:rsidRDefault="009B37DB" w:rsidP="003566ED">
      <w:pPr>
        <w:spacing w:line="276" w:lineRule="auto"/>
        <w:rPr>
          <w:rFonts w:ascii="Ebrima" w:hAnsi="Ebrima"/>
          <w:sz w:val="20"/>
          <w:szCs w:val="20"/>
        </w:rPr>
      </w:pPr>
      <w:r w:rsidRPr="003566ED">
        <w:rPr>
          <w:rFonts w:ascii="Ebrima" w:eastAsia="Ebrima" w:hAnsi="Ebrima" w:cs="Ebrima"/>
          <w:sz w:val="20"/>
          <w:szCs w:val="20"/>
        </w:rPr>
        <w:t>La FNCCR convient parfaitement de l’analyse de l’Autorité quant au verrouillage du marché de gros d’un RIP par un OCEN qui e</w:t>
      </w:r>
      <w:r w:rsidR="00695DD2" w:rsidRPr="003566ED">
        <w:rPr>
          <w:rFonts w:ascii="Ebrima" w:eastAsia="Ebrima" w:hAnsi="Ebrima" w:cs="Ebrima"/>
          <w:sz w:val="20"/>
          <w:szCs w:val="20"/>
        </w:rPr>
        <w:t>n serait l’opérateur titulaire</w:t>
      </w:r>
      <w:r w:rsidRPr="003566ED">
        <w:rPr>
          <w:rFonts w:ascii="Ebrima" w:eastAsia="Ebrima" w:hAnsi="Ebrima" w:cs="Ebrima"/>
          <w:sz w:val="20"/>
          <w:szCs w:val="20"/>
        </w:rPr>
        <w:t xml:space="preserve">. La FNCCR considère que les opérateurs intégrés monopolisant un RIP sont au nombre de trois </w:t>
      </w:r>
      <w:r w:rsidRPr="003566ED">
        <w:rPr>
          <w:rFonts w:ascii="Ebrima" w:eastAsia="Ebrima" w:hAnsi="Ebrima" w:cs="Ebrima"/>
          <w:sz w:val="20"/>
          <w:szCs w:val="20"/>
          <w:u w:val="single"/>
        </w:rPr>
        <w:t>au moins</w:t>
      </w:r>
      <w:r w:rsidRPr="003566ED">
        <w:rPr>
          <w:rFonts w:ascii="Ebrima" w:eastAsia="Ebrima" w:hAnsi="Ebrima" w:cs="Ebrima"/>
          <w:sz w:val="20"/>
          <w:szCs w:val="20"/>
        </w:rPr>
        <w:t xml:space="preserve"> aujourd’hui, et plus probablement quatre : Orange, SFR, Altitude et sans doute </w:t>
      </w:r>
      <w:proofErr w:type="spellStart"/>
      <w:r w:rsidRPr="003566ED">
        <w:rPr>
          <w:rFonts w:ascii="Ebrima" w:eastAsia="Ebrima" w:hAnsi="Ebrima" w:cs="Ebrima"/>
          <w:sz w:val="20"/>
          <w:szCs w:val="20"/>
        </w:rPr>
        <w:t>Axione</w:t>
      </w:r>
      <w:proofErr w:type="spellEnd"/>
      <w:r w:rsidRPr="003566ED">
        <w:rPr>
          <w:rFonts w:ascii="Ebrima" w:eastAsia="Ebrima" w:hAnsi="Ebrima" w:cs="Ebrima"/>
          <w:sz w:val="20"/>
          <w:szCs w:val="20"/>
        </w:rPr>
        <w:t>. Il est à regretter des situations de quasi autofourniture totalement incompatibles avec les règles du service public (ouverture, neutralité, et non-discrimination) et les attentes des citoyens (avoir le choix de son FAI).</w:t>
      </w:r>
    </w:p>
    <w:p w:rsidR="001E3A61" w:rsidRPr="003566ED" w:rsidRDefault="009B37DB" w:rsidP="003566ED">
      <w:pPr>
        <w:spacing w:line="276" w:lineRule="auto"/>
        <w:rPr>
          <w:rFonts w:ascii="Ebrima" w:hAnsi="Ebrima"/>
          <w:sz w:val="20"/>
          <w:szCs w:val="20"/>
        </w:rPr>
      </w:pPr>
      <w:r w:rsidRPr="003566ED">
        <w:rPr>
          <w:rFonts w:ascii="Ebrima" w:eastAsia="Ebrima" w:hAnsi="Ebrima" w:cs="Ebrima"/>
          <w:sz w:val="20"/>
          <w:szCs w:val="20"/>
        </w:rPr>
        <w:lastRenderedPageBreak/>
        <w:t xml:space="preserve">Si l’assurance de la présence d’un FAI est un point positif, pour les élus, les citoyens, les entreprises, force est de constater que </w:t>
      </w:r>
      <w:r w:rsidR="00F45A0E">
        <w:rPr>
          <w:rFonts w:ascii="Ebrima" w:eastAsia="Ebrima" w:hAnsi="Ebrima" w:cs="Ebrima"/>
          <w:sz w:val="20"/>
          <w:szCs w:val="20"/>
        </w:rPr>
        <w:t xml:space="preserve">la délivrance </w:t>
      </w:r>
      <w:r w:rsidRPr="003566ED">
        <w:rPr>
          <w:rFonts w:ascii="Ebrima" w:eastAsia="Ebrima" w:hAnsi="Ebrima" w:cs="Ebrima"/>
          <w:sz w:val="20"/>
          <w:szCs w:val="20"/>
        </w:rPr>
        <w:t>du service à l‘utilisateur dans les zones rurales n’est pas la priorité des FAI</w:t>
      </w:r>
      <w:r w:rsidR="00695DD2" w:rsidRPr="003566ED">
        <w:rPr>
          <w:rFonts w:ascii="Ebrima" w:eastAsia="Ebrima" w:hAnsi="Ebrima" w:cs="Ebrima"/>
          <w:sz w:val="20"/>
          <w:szCs w:val="20"/>
        </w:rPr>
        <w:t xml:space="preserve"> nationaux</w:t>
      </w:r>
      <w:r w:rsidRPr="003566ED">
        <w:rPr>
          <w:rFonts w:ascii="Ebrima" w:eastAsia="Ebrima" w:hAnsi="Ebrima" w:cs="Ebrima"/>
          <w:sz w:val="20"/>
          <w:szCs w:val="20"/>
        </w:rPr>
        <w:t xml:space="preserve">. À court terme, il est constaté que le FAI lié à l’OI, même seul, ne fait pas montre d’un réel dynamisme à conquérir des abonnés </w:t>
      </w:r>
      <w:proofErr w:type="spellStart"/>
      <w:r w:rsidRPr="003566ED">
        <w:rPr>
          <w:rFonts w:ascii="Ebrima" w:eastAsia="Ebrima" w:hAnsi="Ebrima" w:cs="Ebrima"/>
          <w:sz w:val="20"/>
          <w:szCs w:val="20"/>
        </w:rPr>
        <w:t>FttH</w:t>
      </w:r>
      <w:proofErr w:type="spellEnd"/>
      <w:r w:rsidRPr="003566ED">
        <w:rPr>
          <w:rFonts w:ascii="Ebrima" w:eastAsia="Ebrima" w:hAnsi="Ebrima" w:cs="Ebrima"/>
          <w:sz w:val="20"/>
          <w:szCs w:val="20"/>
        </w:rPr>
        <w:t xml:space="preserve">, le marché DSL restant très rémunérateur (encore plus vrai en cas de RIP 1G). D’où l’intérêt d’une régulation assouplie des offres de gros de la paire de cuivre (cf. question 6 </w:t>
      </w:r>
      <w:r w:rsidRPr="003566ED">
        <w:rPr>
          <w:rFonts w:ascii="Ebrima" w:eastAsia="Ebrima" w:hAnsi="Ebrima" w:cs="Ebrima"/>
          <w:i/>
          <w:sz w:val="20"/>
          <w:szCs w:val="20"/>
        </w:rPr>
        <w:t>infra</w:t>
      </w:r>
      <w:r w:rsidRPr="003566ED">
        <w:rPr>
          <w:rFonts w:ascii="Ebrima" w:eastAsia="Ebrima" w:hAnsi="Ebrima" w:cs="Ebrima"/>
          <w:sz w:val="20"/>
          <w:szCs w:val="20"/>
        </w:rPr>
        <w:t>) telle que l’a suggérée l’Autorité.</w:t>
      </w:r>
    </w:p>
    <w:p w:rsidR="001E3A61" w:rsidRPr="003566ED" w:rsidRDefault="009B37DB" w:rsidP="003566ED">
      <w:pPr>
        <w:spacing w:line="276" w:lineRule="auto"/>
        <w:rPr>
          <w:rFonts w:ascii="Ebrima" w:hAnsi="Ebrima"/>
          <w:sz w:val="20"/>
          <w:szCs w:val="20"/>
        </w:rPr>
      </w:pPr>
      <w:r w:rsidRPr="003566ED">
        <w:rPr>
          <w:rFonts w:ascii="Ebrima" w:eastAsia="Ebrima" w:hAnsi="Ebrima" w:cs="Ebrima"/>
          <w:sz w:val="20"/>
          <w:szCs w:val="20"/>
        </w:rPr>
        <w:t xml:space="preserve">Au demeurant, à moyen ou long terme, l’atteinte </w:t>
      </w:r>
      <w:r w:rsidR="00F45A0E">
        <w:rPr>
          <w:rFonts w:ascii="Ebrima" w:eastAsia="Ebrima" w:hAnsi="Ebrima" w:cs="Ebrima"/>
          <w:sz w:val="20"/>
          <w:szCs w:val="20"/>
        </w:rPr>
        <w:t xml:space="preserve">progressive </w:t>
      </w:r>
      <w:r w:rsidRPr="003566ED">
        <w:rPr>
          <w:rFonts w:ascii="Ebrima" w:eastAsia="Ebrima" w:hAnsi="Ebrima" w:cs="Ebrima"/>
          <w:sz w:val="20"/>
          <w:szCs w:val="20"/>
        </w:rPr>
        <w:t xml:space="preserve">d’un </w:t>
      </w:r>
      <w:r w:rsidR="00404D9F">
        <w:rPr>
          <w:rFonts w:ascii="Ebrima" w:eastAsia="Ebrima" w:hAnsi="Ebrima" w:cs="Ebrima"/>
          <w:sz w:val="20"/>
          <w:szCs w:val="20"/>
        </w:rPr>
        <w:t>pic</w:t>
      </w:r>
      <w:r w:rsidRPr="003566ED">
        <w:rPr>
          <w:rFonts w:ascii="Ebrima" w:eastAsia="Ebrima" w:hAnsi="Ebrima" w:cs="Ebrima"/>
          <w:sz w:val="20"/>
          <w:szCs w:val="20"/>
        </w:rPr>
        <w:t xml:space="preserve"> dans le taux de pénétration est de nature à faire venir, enfin, ses principaux concurrents. Dans l’intervalle se crée une situation détestable pour les collectivités territoriales, obligées d’intervenir politiquement, en jouant les médiateurs dans un champ (le marché de détail) qui n’est pas de leur ressort.</w:t>
      </w:r>
    </w:p>
    <w:p w:rsidR="001E3A61" w:rsidRPr="003566ED" w:rsidRDefault="009B37DB" w:rsidP="00DB1874">
      <w:pPr>
        <w:spacing w:after="120" w:line="276" w:lineRule="auto"/>
        <w:rPr>
          <w:rFonts w:ascii="Ebrima" w:hAnsi="Ebrima"/>
          <w:sz w:val="20"/>
          <w:szCs w:val="20"/>
        </w:rPr>
      </w:pPr>
      <w:r w:rsidRPr="003566ED">
        <w:rPr>
          <w:rFonts w:ascii="Ebrima" w:eastAsia="Ebrima" w:hAnsi="Ebrima" w:cs="Ebrima"/>
          <w:sz w:val="20"/>
          <w:szCs w:val="20"/>
        </w:rPr>
        <w:t>La FNCCR rappelle que les recommandations de l’Autorité de la Concurrence, souscrites par l’ARCEP, visant à ce que les opérateurs verticalement intégrés informent à l’avance de leur intérêt ou non pour un RIP, et dans l’affirmative, dans quelles proportions, n’ont jamais été suivies ni de mesures et encore moins de sanctions.</w:t>
      </w:r>
    </w:p>
    <w:tbl>
      <w:tblPr>
        <w:tblStyle w:val="a1"/>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3566ED" w:rsidRPr="003566ED" w:rsidTr="00D77EB1">
        <w:trPr>
          <w:trHeight w:val="980"/>
        </w:trPr>
        <w:tc>
          <w:tcPr>
            <w:tcW w:w="1418" w:type="dxa"/>
            <w:vAlign w:val="center"/>
          </w:tcPr>
          <w:p w:rsidR="001E3A61" w:rsidRPr="003566ED" w:rsidRDefault="009B37DB" w:rsidP="003566ED">
            <w:pPr>
              <w:spacing w:line="276" w:lineRule="auto"/>
              <w:jc w:val="left"/>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Question 3 </w:t>
            </w:r>
          </w:p>
        </w:tc>
        <w:tc>
          <w:tcPr>
            <w:tcW w:w="7706" w:type="dxa"/>
            <w:vAlign w:val="center"/>
          </w:tcPr>
          <w:p w:rsidR="001E3A61" w:rsidRPr="003566ED" w:rsidRDefault="009B37DB" w:rsidP="003566ED">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 xml:space="preserve">L’Autorité invite les contributeurs à réagir sur son analyse de la situation concurrentielle des différentes zones (ensemble de la section 1.1.1), le cas échéant en distinguant chacune des trois zones examinées ci-dessus. </w:t>
            </w:r>
          </w:p>
        </w:tc>
      </w:tr>
    </w:tbl>
    <w:p w:rsidR="001E3A61" w:rsidRDefault="004E7ED5" w:rsidP="003566ED">
      <w:pPr>
        <w:spacing w:line="276" w:lineRule="auto"/>
        <w:rPr>
          <w:rFonts w:ascii="Ebrima" w:eastAsia="Ebrima" w:hAnsi="Ebrima" w:cs="Ebrima"/>
          <w:sz w:val="20"/>
          <w:szCs w:val="20"/>
        </w:rPr>
      </w:pPr>
      <w:r>
        <w:rPr>
          <w:rFonts w:ascii="Ebrima" w:eastAsia="Ebrima" w:hAnsi="Ebrima" w:cs="Ebrima"/>
          <w:sz w:val="20"/>
          <w:szCs w:val="20"/>
        </w:rPr>
        <w:t>La FNCCR est soucieuse des conditions devant faire émerger une animation concurrentielle e</w:t>
      </w:r>
      <w:r w:rsidR="008A1E8C">
        <w:rPr>
          <w:rFonts w:ascii="Ebrima" w:eastAsia="Ebrima" w:hAnsi="Ebrima" w:cs="Ebrima"/>
          <w:sz w:val="20"/>
          <w:szCs w:val="20"/>
        </w:rPr>
        <w:t>fficace</w:t>
      </w:r>
      <w:r w:rsidR="00F323FE">
        <w:rPr>
          <w:rFonts w:ascii="Ebrima" w:eastAsia="Ebrima" w:hAnsi="Ebrima" w:cs="Ebrima"/>
          <w:sz w:val="20"/>
          <w:szCs w:val="20"/>
        </w:rPr>
        <w:t>.</w:t>
      </w:r>
    </w:p>
    <w:p w:rsidR="00F323FE" w:rsidRPr="00F323FE" w:rsidRDefault="00F323FE" w:rsidP="00DB1874">
      <w:pPr>
        <w:spacing w:after="120" w:line="276" w:lineRule="auto"/>
        <w:rPr>
          <w:rFonts w:ascii="Ebrima" w:eastAsia="Ebrima" w:hAnsi="Ebrima" w:cs="Ebrima"/>
          <w:sz w:val="20"/>
          <w:szCs w:val="20"/>
        </w:rPr>
      </w:pPr>
      <w:r>
        <w:rPr>
          <w:rFonts w:ascii="Ebrima" w:eastAsia="Ebrima" w:hAnsi="Ebrima" w:cs="Ebrima"/>
          <w:sz w:val="20"/>
          <w:szCs w:val="20"/>
        </w:rPr>
        <w:t>Comme elle a rappelé</w:t>
      </w:r>
      <w:r w:rsidR="009B01F2">
        <w:rPr>
          <w:rFonts w:ascii="Ebrima" w:eastAsia="Ebrima" w:hAnsi="Ebrima" w:cs="Ebrima"/>
          <w:sz w:val="20"/>
          <w:szCs w:val="20"/>
        </w:rPr>
        <w:t>,</w:t>
      </w:r>
      <w:r>
        <w:rPr>
          <w:rFonts w:ascii="Ebrima" w:eastAsia="Ebrima" w:hAnsi="Ebrima" w:cs="Ebrima"/>
          <w:sz w:val="20"/>
          <w:szCs w:val="20"/>
        </w:rPr>
        <w:t xml:space="preserve"> en écho avec l’Autorité, la dynamique est en panne en zone urbaine ZTD et ZMD où Orange est parvenu à se rendre leader sur le marché de détail. Dans la ZMD – RIP,</w:t>
      </w:r>
      <w:r w:rsidR="00E908A6">
        <w:rPr>
          <w:rFonts w:ascii="Ebrima" w:eastAsia="Ebrima" w:hAnsi="Ebrima" w:cs="Ebrima"/>
          <w:sz w:val="20"/>
          <w:szCs w:val="20"/>
        </w:rPr>
        <w:t xml:space="preserve"> non seulement d</w:t>
      </w:r>
      <w:r>
        <w:rPr>
          <w:rFonts w:ascii="Ebrima" w:eastAsia="Ebrima" w:hAnsi="Ebrima" w:cs="Ebrima"/>
          <w:sz w:val="20"/>
          <w:szCs w:val="20"/>
        </w:rPr>
        <w:t>es monopoles apparaissent mais encore sans l’efficacité</w:t>
      </w:r>
      <w:r w:rsidR="00E908A6">
        <w:rPr>
          <w:rFonts w:ascii="Ebrima" w:eastAsia="Ebrima" w:hAnsi="Ebrima" w:cs="Ebrima"/>
          <w:sz w:val="20"/>
          <w:szCs w:val="20"/>
        </w:rPr>
        <w:t xml:space="preserve"> commerciale nominale</w:t>
      </w:r>
      <w:r>
        <w:rPr>
          <w:rFonts w:ascii="Ebrima" w:eastAsia="Ebrima" w:hAnsi="Ebrima" w:cs="Ebrima"/>
          <w:sz w:val="20"/>
          <w:szCs w:val="20"/>
        </w:rPr>
        <w:t>. Par ailleurs, la FNCCR note une exigence des clients finaux sur la richesse des offres (</w:t>
      </w:r>
      <w:r w:rsidRPr="00F323FE">
        <w:rPr>
          <w:rFonts w:ascii="Ebrima" w:eastAsia="Ebrima" w:hAnsi="Ebrima" w:cs="Ebrima"/>
          <w:i/>
          <w:sz w:val="20"/>
          <w:szCs w:val="20"/>
        </w:rPr>
        <w:t xml:space="preserve">quadruple </w:t>
      </w:r>
      <w:proofErr w:type="spellStart"/>
      <w:r w:rsidRPr="00F323FE">
        <w:rPr>
          <w:rFonts w:ascii="Ebrima" w:eastAsia="Ebrima" w:hAnsi="Ebrima" w:cs="Ebrima"/>
          <w:i/>
          <w:sz w:val="20"/>
          <w:szCs w:val="20"/>
        </w:rPr>
        <w:t>play</w:t>
      </w:r>
      <w:proofErr w:type="spellEnd"/>
      <w:r>
        <w:rPr>
          <w:rFonts w:ascii="Ebrima" w:eastAsia="Ebrima" w:hAnsi="Ebrima" w:cs="Ebrima"/>
          <w:sz w:val="20"/>
          <w:szCs w:val="20"/>
        </w:rPr>
        <w:t xml:space="preserve">) et sur la qualité de service, </w:t>
      </w:r>
      <w:r w:rsidR="00FD47D0">
        <w:rPr>
          <w:rFonts w:ascii="Ebrima" w:eastAsia="Ebrima" w:hAnsi="Ebrima" w:cs="Ebrima"/>
          <w:sz w:val="20"/>
          <w:szCs w:val="20"/>
        </w:rPr>
        <w:t xml:space="preserve">similaires </w:t>
      </w:r>
      <w:r>
        <w:rPr>
          <w:rFonts w:ascii="Ebrima" w:eastAsia="Ebrima" w:hAnsi="Ebrima" w:cs="Ebrima"/>
          <w:sz w:val="20"/>
          <w:szCs w:val="20"/>
        </w:rPr>
        <w:t xml:space="preserve">aux standards des OCEN, ce qui crée une certaine défiance, </w:t>
      </w:r>
      <w:r w:rsidR="00952225">
        <w:rPr>
          <w:rFonts w:ascii="Ebrima" w:eastAsia="Ebrima" w:hAnsi="Ebrima" w:cs="Ebrima"/>
          <w:sz w:val="20"/>
          <w:szCs w:val="20"/>
        </w:rPr>
        <w:t>i</w:t>
      </w:r>
      <w:r>
        <w:rPr>
          <w:rFonts w:ascii="Ebrima" w:eastAsia="Ebrima" w:hAnsi="Ebrima" w:cs="Ebrima"/>
          <w:sz w:val="20"/>
          <w:szCs w:val="20"/>
        </w:rPr>
        <w:t>njustifiée, à l’égard des opérateurs de proximité.</w:t>
      </w:r>
    </w:p>
    <w:tbl>
      <w:tblPr>
        <w:tblStyle w:val="a2"/>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3566ED" w:rsidRPr="003566ED" w:rsidTr="00D77EB1">
        <w:trPr>
          <w:trHeight w:val="900"/>
        </w:trPr>
        <w:tc>
          <w:tcPr>
            <w:tcW w:w="1418" w:type="dxa"/>
            <w:vAlign w:val="center"/>
          </w:tcPr>
          <w:p w:rsidR="001E3A61" w:rsidRPr="003566ED" w:rsidRDefault="009B37DB" w:rsidP="003566ED">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Question 4 </w:t>
            </w:r>
          </w:p>
        </w:tc>
        <w:tc>
          <w:tcPr>
            <w:tcW w:w="7706" w:type="dxa"/>
            <w:vAlign w:val="center"/>
          </w:tcPr>
          <w:p w:rsidR="001E3A61" w:rsidRPr="003566ED" w:rsidRDefault="009B37DB" w:rsidP="003566ED">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 xml:space="preserve">L’Autorité invite les contributeurs à se prononcer sur l’analyse développée concernant les processus opérationnels de la mutualisation des réseaux de communications électroniques à très haut débit en fibre optique. </w:t>
            </w:r>
          </w:p>
        </w:tc>
      </w:tr>
    </w:tbl>
    <w:p w:rsidR="001E3A61" w:rsidRPr="003566ED" w:rsidRDefault="009B37DB" w:rsidP="003566ED">
      <w:pPr>
        <w:spacing w:line="276" w:lineRule="auto"/>
        <w:rPr>
          <w:rFonts w:ascii="Ebrima" w:hAnsi="Ebrima"/>
          <w:sz w:val="20"/>
          <w:szCs w:val="20"/>
        </w:rPr>
      </w:pPr>
      <w:r w:rsidRPr="003566ED">
        <w:rPr>
          <w:rFonts w:ascii="Ebrima" w:eastAsia="Ebrima" w:hAnsi="Ebrima" w:cs="Ebrima"/>
          <w:sz w:val="20"/>
          <w:szCs w:val="20"/>
        </w:rPr>
        <w:t xml:space="preserve">La FNCCR a réalisé en 2016 une étude d’opportunité sur la mutualisation des RIP </w:t>
      </w:r>
      <w:r w:rsidR="007F716A" w:rsidRPr="007F716A">
        <w:rPr>
          <w:rFonts w:ascii="Ebrima" w:eastAsia="Ebrima" w:hAnsi="Ebrima" w:cs="Ebrima"/>
          <w:b/>
          <w:sz w:val="20"/>
          <w:szCs w:val="20"/>
        </w:rPr>
        <w:t>(cf. document joint</w:t>
      </w:r>
      <w:r w:rsidR="007F716A">
        <w:rPr>
          <w:rFonts w:ascii="Ebrima" w:eastAsia="Ebrima" w:hAnsi="Ebrima" w:cs="Ebrima"/>
          <w:b/>
          <w:sz w:val="20"/>
          <w:szCs w:val="20"/>
        </w:rPr>
        <w:t xml:space="preserve"> pour plus de détails</w:t>
      </w:r>
      <w:r w:rsidR="007F716A" w:rsidRPr="007F716A">
        <w:rPr>
          <w:rFonts w:ascii="Ebrima" w:eastAsia="Ebrima" w:hAnsi="Ebrima" w:cs="Ebrima"/>
          <w:b/>
          <w:sz w:val="20"/>
          <w:szCs w:val="20"/>
        </w:rPr>
        <w:t>)</w:t>
      </w:r>
      <w:r w:rsidR="007F716A">
        <w:rPr>
          <w:rFonts w:ascii="Ebrima" w:eastAsia="Ebrima" w:hAnsi="Ebrima" w:cs="Ebrima"/>
          <w:sz w:val="20"/>
          <w:szCs w:val="20"/>
        </w:rPr>
        <w:t xml:space="preserve"> </w:t>
      </w:r>
      <w:r w:rsidRPr="003566ED">
        <w:rPr>
          <w:rFonts w:ascii="Ebrima" w:eastAsia="Ebrima" w:hAnsi="Ebrima" w:cs="Ebrima"/>
          <w:sz w:val="20"/>
          <w:szCs w:val="20"/>
        </w:rPr>
        <w:t>visant à trouver des remèdes au défaut de commercialisation des RIP, en particulier ceux construits et exploités dans les territoires les plus ruraux, sur une assiette de prises limitée. Les conclusions de l’étude préconisent la création d’un GIE de gouvernance publique (les collectivités territoriales et leurs groupements) dont les activités commerciales reposeraient sur plusieurs prestations de services à destination des opérateurs d’infrastructures, des opérateurs FAI (y compris les opérateurs locaux), les collectivités :</w:t>
      </w:r>
    </w:p>
    <w:p w:rsidR="001E3A61" w:rsidRPr="003566ED" w:rsidRDefault="009B37DB" w:rsidP="003566ED">
      <w:pPr>
        <w:numPr>
          <w:ilvl w:val="0"/>
          <w:numId w:val="2"/>
        </w:numPr>
        <w:spacing w:before="60" w:after="60" w:line="276" w:lineRule="auto"/>
        <w:ind w:hanging="360"/>
        <w:rPr>
          <w:rFonts w:ascii="Ebrima" w:hAnsi="Ebrima"/>
          <w:sz w:val="20"/>
          <w:szCs w:val="20"/>
        </w:rPr>
      </w:pPr>
      <w:r w:rsidRPr="003566ED">
        <w:rPr>
          <w:rFonts w:ascii="Ebrima" w:eastAsia="Ebrima" w:hAnsi="Ebrima" w:cs="Ebrima"/>
          <w:sz w:val="20"/>
          <w:szCs w:val="20"/>
        </w:rPr>
        <w:t>Moteur d’éligibilité</w:t>
      </w:r>
    </w:p>
    <w:p w:rsidR="001E3A61" w:rsidRPr="003566ED" w:rsidRDefault="009B37DB" w:rsidP="003566ED">
      <w:pPr>
        <w:numPr>
          <w:ilvl w:val="0"/>
          <w:numId w:val="2"/>
        </w:numPr>
        <w:spacing w:before="60" w:after="60" w:line="276" w:lineRule="auto"/>
        <w:ind w:hanging="360"/>
        <w:rPr>
          <w:rFonts w:ascii="Ebrima" w:hAnsi="Ebrima"/>
          <w:sz w:val="20"/>
          <w:szCs w:val="20"/>
        </w:rPr>
      </w:pPr>
      <w:r w:rsidRPr="003566ED">
        <w:rPr>
          <w:rFonts w:ascii="Ebrima" w:eastAsia="Ebrima" w:hAnsi="Ebrima" w:cs="Ebrima"/>
          <w:sz w:val="20"/>
          <w:szCs w:val="20"/>
        </w:rPr>
        <w:t>Aiguillage des FAI vers les opérateurs de RIP</w:t>
      </w:r>
    </w:p>
    <w:p w:rsidR="001E3A61" w:rsidRPr="003566ED" w:rsidRDefault="009B37DB" w:rsidP="003566ED">
      <w:pPr>
        <w:numPr>
          <w:ilvl w:val="0"/>
          <w:numId w:val="2"/>
        </w:numPr>
        <w:spacing w:before="60" w:after="60" w:line="276" w:lineRule="auto"/>
        <w:ind w:hanging="360"/>
        <w:rPr>
          <w:rFonts w:ascii="Ebrima" w:hAnsi="Ebrima"/>
          <w:sz w:val="20"/>
          <w:szCs w:val="20"/>
        </w:rPr>
      </w:pPr>
      <w:r w:rsidRPr="003566ED">
        <w:rPr>
          <w:rFonts w:ascii="Ebrima" w:eastAsia="Ebrima" w:hAnsi="Ebrima" w:cs="Ebrima"/>
          <w:sz w:val="20"/>
          <w:szCs w:val="20"/>
        </w:rPr>
        <w:t xml:space="preserve">Commercialisation des prises </w:t>
      </w:r>
      <w:proofErr w:type="spellStart"/>
      <w:r w:rsidRPr="003566ED">
        <w:rPr>
          <w:rFonts w:ascii="Ebrima" w:eastAsia="Ebrima" w:hAnsi="Ebrima" w:cs="Ebrima"/>
          <w:sz w:val="20"/>
          <w:szCs w:val="20"/>
        </w:rPr>
        <w:t>FttH</w:t>
      </w:r>
      <w:proofErr w:type="spellEnd"/>
    </w:p>
    <w:p w:rsidR="001E3A61" w:rsidRPr="003566ED" w:rsidRDefault="009B37DB" w:rsidP="003566ED">
      <w:pPr>
        <w:numPr>
          <w:ilvl w:val="0"/>
          <w:numId w:val="2"/>
        </w:numPr>
        <w:spacing w:before="60" w:after="60" w:line="276" w:lineRule="auto"/>
        <w:ind w:hanging="360"/>
        <w:rPr>
          <w:rFonts w:ascii="Ebrima" w:hAnsi="Ebrima"/>
          <w:sz w:val="20"/>
          <w:szCs w:val="20"/>
        </w:rPr>
      </w:pPr>
      <w:r w:rsidRPr="003566ED">
        <w:rPr>
          <w:rFonts w:ascii="Ebrima" w:eastAsia="Ebrima" w:hAnsi="Ebrima" w:cs="Ebrima"/>
          <w:sz w:val="20"/>
          <w:szCs w:val="20"/>
        </w:rPr>
        <w:t xml:space="preserve">Offres de contenus sous le forme </w:t>
      </w:r>
      <w:proofErr w:type="gramStart"/>
      <w:r w:rsidRPr="003566ED">
        <w:rPr>
          <w:rFonts w:ascii="Ebrima" w:eastAsia="Ebrima" w:hAnsi="Ebrima" w:cs="Ebrima"/>
          <w:sz w:val="20"/>
          <w:szCs w:val="20"/>
        </w:rPr>
        <w:t>d’une</w:t>
      </w:r>
      <w:proofErr w:type="gramEnd"/>
      <w:r w:rsidRPr="003566ED">
        <w:rPr>
          <w:rFonts w:ascii="Ebrima" w:eastAsia="Ebrima" w:hAnsi="Ebrima" w:cs="Ebrima"/>
          <w:sz w:val="20"/>
          <w:szCs w:val="20"/>
        </w:rPr>
        <w:t xml:space="preserve"> box en marque blanche</w:t>
      </w:r>
    </w:p>
    <w:p w:rsidR="001E3A61" w:rsidRPr="003566ED" w:rsidRDefault="009B37DB" w:rsidP="003566ED">
      <w:pPr>
        <w:numPr>
          <w:ilvl w:val="0"/>
          <w:numId w:val="2"/>
        </w:numPr>
        <w:spacing w:before="60" w:after="60" w:line="276" w:lineRule="auto"/>
        <w:ind w:hanging="360"/>
        <w:rPr>
          <w:rFonts w:ascii="Ebrima" w:hAnsi="Ebrima"/>
          <w:sz w:val="20"/>
          <w:szCs w:val="20"/>
        </w:rPr>
      </w:pPr>
      <w:r w:rsidRPr="003566ED">
        <w:rPr>
          <w:rFonts w:ascii="Ebrima" w:eastAsia="Ebrima" w:hAnsi="Ebrima" w:cs="Ebrima"/>
          <w:sz w:val="20"/>
          <w:szCs w:val="20"/>
        </w:rPr>
        <w:t>Services d’exploitation maintenance</w:t>
      </w:r>
    </w:p>
    <w:p w:rsidR="001E3A61" w:rsidRPr="003566ED" w:rsidRDefault="009B37DB" w:rsidP="003566ED">
      <w:pPr>
        <w:numPr>
          <w:ilvl w:val="0"/>
          <w:numId w:val="2"/>
        </w:numPr>
        <w:spacing w:before="60" w:after="60" w:line="276" w:lineRule="auto"/>
        <w:ind w:hanging="360"/>
        <w:rPr>
          <w:rFonts w:ascii="Ebrima" w:hAnsi="Ebrima"/>
          <w:sz w:val="20"/>
          <w:szCs w:val="20"/>
        </w:rPr>
      </w:pPr>
      <w:r w:rsidRPr="003566ED">
        <w:rPr>
          <w:rFonts w:ascii="Ebrima" w:eastAsia="Ebrima" w:hAnsi="Ebrima" w:cs="Ebrima"/>
          <w:sz w:val="20"/>
          <w:szCs w:val="20"/>
        </w:rPr>
        <w:t>Référencement des fourreaux et points hauts</w:t>
      </w:r>
    </w:p>
    <w:p w:rsidR="001E3A61" w:rsidRPr="003566ED" w:rsidRDefault="009B37DB" w:rsidP="003566ED">
      <w:pPr>
        <w:numPr>
          <w:ilvl w:val="0"/>
          <w:numId w:val="2"/>
        </w:numPr>
        <w:spacing w:before="60" w:after="60" w:line="276" w:lineRule="auto"/>
        <w:ind w:hanging="360"/>
        <w:rPr>
          <w:rFonts w:ascii="Ebrima" w:hAnsi="Ebrima"/>
          <w:sz w:val="20"/>
          <w:szCs w:val="20"/>
        </w:rPr>
      </w:pPr>
      <w:r w:rsidRPr="003566ED">
        <w:rPr>
          <w:rFonts w:ascii="Ebrima" w:eastAsia="Ebrima" w:hAnsi="Ebrima" w:cs="Ebrima"/>
          <w:sz w:val="20"/>
          <w:szCs w:val="20"/>
        </w:rPr>
        <w:t>Guichet unique pour la location de fibre noire / Objets connectés</w:t>
      </w:r>
    </w:p>
    <w:p w:rsidR="001E3A61" w:rsidRPr="003566ED" w:rsidRDefault="009B37DB" w:rsidP="003566ED">
      <w:pPr>
        <w:numPr>
          <w:ilvl w:val="0"/>
          <w:numId w:val="2"/>
        </w:numPr>
        <w:spacing w:before="60" w:after="60" w:line="276" w:lineRule="auto"/>
        <w:ind w:hanging="360"/>
        <w:rPr>
          <w:rFonts w:ascii="Ebrima" w:hAnsi="Ebrima"/>
          <w:sz w:val="20"/>
          <w:szCs w:val="20"/>
        </w:rPr>
      </w:pPr>
      <w:r w:rsidRPr="003566ED">
        <w:rPr>
          <w:rFonts w:ascii="Ebrima" w:eastAsia="Ebrima" w:hAnsi="Ebrima" w:cs="Ebrima"/>
          <w:sz w:val="20"/>
          <w:szCs w:val="20"/>
        </w:rPr>
        <w:t>Système d’information en location</w:t>
      </w:r>
    </w:p>
    <w:p w:rsidR="001E3A61" w:rsidRPr="003566ED" w:rsidRDefault="009B37DB" w:rsidP="003566ED">
      <w:pPr>
        <w:spacing w:line="276" w:lineRule="auto"/>
        <w:rPr>
          <w:rFonts w:ascii="Ebrima" w:hAnsi="Ebrima"/>
          <w:sz w:val="20"/>
          <w:szCs w:val="20"/>
        </w:rPr>
      </w:pPr>
      <w:r w:rsidRPr="003566ED">
        <w:rPr>
          <w:rFonts w:ascii="Ebrima" w:eastAsia="Ebrima" w:hAnsi="Ebrima" w:cs="Ebrima"/>
          <w:sz w:val="20"/>
          <w:szCs w:val="20"/>
        </w:rPr>
        <w:t xml:space="preserve">Cette démarche, en cours de mise en œuvre, répond au même diagnostic que celui posait par l’Autorité, s’agissant notamment de la visibilité donnée aux volumes de prises </w:t>
      </w:r>
      <w:proofErr w:type="spellStart"/>
      <w:r w:rsidRPr="003566ED">
        <w:rPr>
          <w:rFonts w:ascii="Ebrima" w:eastAsia="Ebrima" w:hAnsi="Ebrima" w:cs="Ebrima"/>
          <w:sz w:val="20"/>
          <w:szCs w:val="20"/>
        </w:rPr>
        <w:t>FttH</w:t>
      </w:r>
      <w:proofErr w:type="spellEnd"/>
      <w:r w:rsidRPr="003566ED">
        <w:rPr>
          <w:rFonts w:ascii="Ebrima" w:eastAsia="Ebrima" w:hAnsi="Ebrima" w:cs="Ebrima"/>
          <w:sz w:val="20"/>
          <w:szCs w:val="20"/>
        </w:rPr>
        <w:t xml:space="preserve"> construites et raccordables, à disposition des FAI, de recherche de gains économiques par la constitution d’une plate-forme unique assurant la gestion centralisée inter-opérateurs des processus opérationnels et de commercialisation.</w:t>
      </w:r>
    </w:p>
    <w:p w:rsidR="007F716A" w:rsidRPr="007F716A" w:rsidRDefault="009B37DB" w:rsidP="00DB1874">
      <w:pPr>
        <w:spacing w:after="120" w:line="276" w:lineRule="auto"/>
        <w:rPr>
          <w:rFonts w:ascii="Ebrima" w:eastAsia="Ebrima" w:hAnsi="Ebrima" w:cs="Ebrima"/>
          <w:sz w:val="20"/>
          <w:szCs w:val="20"/>
        </w:rPr>
      </w:pPr>
      <w:r w:rsidRPr="003566ED">
        <w:rPr>
          <w:rFonts w:ascii="Ebrima" w:eastAsia="Ebrima" w:hAnsi="Ebrima" w:cs="Ebrima"/>
          <w:sz w:val="20"/>
          <w:szCs w:val="20"/>
        </w:rPr>
        <w:t>La FNCCR ajoute en particulier que son projet de plate-forme publique est complémentaire à celui porté par l’Agence du Numérique, visant lui plus directement les opérateurs de détail.</w:t>
      </w:r>
    </w:p>
    <w:tbl>
      <w:tblPr>
        <w:tblStyle w:val="a3"/>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3566ED" w:rsidRPr="003566ED" w:rsidTr="00D77EB1">
        <w:trPr>
          <w:trHeight w:val="700"/>
        </w:trPr>
        <w:tc>
          <w:tcPr>
            <w:tcW w:w="1418" w:type="dxa"/>
            <w:vAlign w:val="center"/>
          </w:tcPr>
          <w:p w:rsidR="001E3A61" w:rsidRPr="003566ED" w:rsidRDefault="009B37DB" w:rsidP="003566ED">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Question 5 </w:t>
            </w:r>
          </w:p>
        </w:tc>
        <w:tc>
          <w:tcPr>
            <w:tcW w:w="7706" w:type="dxa"/>
            <w:vAlign w:val="center"/>
          </w:tcPr>
          <w:p w:rsidR="001E3A61" w:rsidRPr="003566ED" w:rsidRDefault="009B37DB" w:rsidP="003566ED">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 xml:space="preserve">L’Autorité invite les contributeurs à commenter l’analyse développée sur l’émergence d’offres activées généralistes. </w:t>
            </w:r>
          </w:p>
        </w:tc>
      </w:tr>
    </w:tbl>
    <w:p w:rsidR="007F716A" w:rsidRPr="000051F3" w:rsidRDefault="009B37DB" w:rsidP="00DB1874">
      <w:pPr>
        <w:spacing w:after="120" w:line="276" w:lineRule="auto"/>
        <w:rPr>
          <w:rFonts w:ascii="Ebrima" w:eastAsia="Ebrima" w:hAnsi="Ebrima" w:cs="Ebrima"/>
          <w:sz w:val="20"/>
          <w:szCs w:val="20"/>
        </w:rPr>
      </w:pPr>
      <w:r w:rsidRPr="003566ED">
        <w:rPr>
          <w:rFonts w:ascii="Ebrima" w:eastAsia="Ebrima" w:hAnsi="Ebrima" w:cs="Ebrima"/>
          <w:sz w:val="20"/>
          <w:szCs w:val="20"/>
        </w:rPr>
        <w:t xml:space="preserve">Les RIP investissent d’ores-et-déjà dans l’activation de leurs réseaux BLOM, en faveur de FAI de proximité ciblant le marché résidentiel ou le marché entreprises. Pourquoi l’obligation envers les opérateurs intégrés exploitant la BLOM devrait-elle être encore différée alors que l’enjeu immédiat est la satisfaction des besoins </w:t>
      </w:r>
      <w:r w:rsidR="007F716A">
        <w:rPr>
          <w:rFonts w:ascii="Ebrima" w:eastAsia="Ebrima" w:hAnsi="Ebrima" w:cs="Ebrima"/>
          <w:sz w:val="20"/>
          <w:szCs w:val="20"/>
        </w:rPr>
        <w:t>sur l’ensemble du territoire</w:t>
      </w:r>
      <w:r w:rsidRPr="003566ED">
        <w:rPr>
          <w:rFonts w:ascii="Ebrima" w:eastAsia="Ebrima" w:hAnsi="Ebrima" w:cs="Ebrima"/>
          <w:sz w:val="20"/>
          <w:szCs w:val="20"/>
        </w:rPr>
        <w:t xml:space="preserve"> (cf. question 7 </w:t>
      </w:r>
      <w:r w:rsidRPr="003566ED">
        <w:rPr>
          <w:rFonts w:ascii="Ebrima" w:eastAsia="Ebrima" w:hAnsi="Ebrima" w:cs="Ebrima"/>
          <w:i/>
          <w:sz w:val="20"/>
          <w:szCs w:val="20"/>
        </w:rPr>
        <w:t>infra</w:t>
      </w:r>
      <w:r w:rsidR="007F716A" w:rsidRPr="007F716A">
        <w:rPr>
          <w:rFonts w:ascii="Ebrima" w:eastAsia="Ebrima" w:hAnsi="Ebrima" w:cs="Ebrima"/>
          <w:sz w:val="20"/>
          <w:szCs w:val="20"/>
        </w:rPr>
        <w:t xml:space="preserve"> </w:t>
      </w:r>
      <w:r w:rsidR="007F716A" w:rsidRPr="003566ED">
        <w:rPr>
          <w:rFonts w:ascii="Ebrima" w:eastAsia="Ebrima" w:hAnsi="Ebrima" w:cs="Ebrima"/>
          <w:sz w:val="20"/>
          <w:szCs w:val="20"/>
        </w:rPr>
        <w:t>entreprises</w:t>
      </w:r>
      <w:r w:rsidRPr="003566ED">
        <w:rPr>
          <w:rFonts w:ascii="Ebrima" w:eastAsia="Ebrima" w:hAnsi="Ebrima" w:cs="Ebrima"/>
          <w:sz w:val="20"/>
          <w:szCs w:val="20"/>
        </w:rPr>
        <w:t>) ?</w:t>
      </w:r>
      <w:r w:rsidR="000051F3">
        <w:rPr>
          <w:rFonts w:ascii="Ebrima" w:eastAsia="Ebrima" w:hAnsi="Ebrima" w:cs="Ebrima"/>
          <w:sz w:val="20"/>
          <w:szCs w:val="20"/>
        </w:rPr>
        <w:t xml:space="preserve"> </w:t>
      </w:r>
      <w:r w:rsidR="007F716A">
        <w:rPr>
          <w:rFonts w:ascii="Ebrima" w:eastAsia="Ebrima" w:hAnsi="Ebrima" w:cs="Ebrima"/>
          <w:sz w:val="20"/>
          <w:szCs w:val="20"/>
        </w:rPr>
        <w:t xml:space="preserve">Empêcher l’émergence d’offres activées généralistes c’est empêcher </w:t>
      </w:r>
      <w:r w:rsidR="003858D4">
        <w:rPr>
          <w:rFonts w:ascii="Ebrima" w:eastAsia="Ebrima" w:hAnsi="Ebrima" w:cs="Ebrima"/>
          <w:sz w:val="20"/>
          <w:szCs w:val="20"/>
        </w:rPr>
        <w:t>l</w:t>
      </w:r>
      <w:r w:rsidR="007F716A">
        <w:rPr>
          <w:rFonts w:ascii="Ebrima" w:eastAsia="Ebrima" w:hAnsi="Ebrima" w:cs="Ebrima"/>
          <w:sz w:val="20"/>
          <w:szCs w:val="20"/>
        </w:rPr>
        <w:t xml:space="preserve">e développement de </w:t>
      </w:r>
      <w:r w:rsidR="000051F3">
        <w:rPr>
          <w:rFonts w:ascii="Ebrima" w:eastAsia="Ebrima" w:hAnsi="Ebrima" w:cs="Ebrima"/>
          <w:sz w:val="20"/>
          <w:szCs w:val="20"/>
        </w:rPr>
        <w:t xml:space="preserve">« petits » </w:t>
      </w:r>
      <w:r w:rsidR="007F716A">
        <w:rPr>
          <w:rFonts w:ascii="Ebrima" w:eastAsia="Ebrima" w:hAnsi="Ebrima" w:cs="Ebrima"/>
          <w:sz w:val="20"/>
          <w:szCs w:val="20"/>
        </w:rPr>
        <w:t>FAI sur l’ensemble du territoire pour les besoins grand publics, entreprises ou plus spécifiques comme l’IOT.</w:t>
      </w:r>
    </w:p>
    <w:tbl>
      <w:tblPr>
        <w:tblStyle w:val="a4"/>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3566ED" w:rsidRPr="003566ED" w:rsidTr="006C02CC">
        <w:trPr>
          <w:trHeight w:val="940"/>
        </w:trPr>
        <w:tc>
          <w:tcPr>
            <w:tcW w:w="1418" w:type="dxa"/>
            <w:vAlign w:val="center"/>
          </w:tcPr>
          <w:p w:rsidR="001E3A61" w:rsidRPr="003566ED" w:rsidRDefault="009B37DB" w:rsidP="003566ED">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Question 6 </w:t>
            </w:r>
          </w:p>
        </w:tc>
        <w:tc>
          <w:tcPr>
            <w:tcW w:w="7706" w:type="dxa"/>
            <w:vAlign w:val="center"/>
          </w:tcPr>
          <w:p w:rsidR="001E3A61" w:rsidRPr="003566ED" w:rsidRDefault="009B37DB" w:rsidP="003566ED">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 xml:space="preserve">L’Autorité invite les acteurs à répondre directement à la consultation publique sur une modulation géographique du tarif du dégroupage ouverte du 23 juin au 9 septembre 2016. </w:t>
            </w:r>
          </w:p>
        </w:tc>
      </w:tr>
    </w:tbl>
    <w:p w:rsidR="001E3A61" w:rsidRPr="003566ED" w:rsidRDefault="009B37DB" w:rsidP="003566ED">
      <w:pPr>
        <w:spacing w:line="276" w:lineRule="auto"/>
        <w:rPr>
          <w:rFonts w:ascii="Ebrima" w:hAnsi="Ebrima"/>
          <w:sz w:val="20"/>
          <w:szCs w:val="20"/>
        </w:rPr>
      </w:pPr>
      <w:r w:rsidRPr="003566ED">
        <w:rPr>
          <w:rFonts w:ascii="Ebrima" w:eastAsia="Ebrima" w:hAnsi="Ebrima" w:cs="Ebrima"/>
          <w:sz w:val="20"/>
          <w:szCs w:val="20"/>
        </w:rPr>
        <w:t>La FNCCR a contribué à cette consultation. Voici la synthèse de ses principales propositions.</w:t>
      </w:r>
    </w:p>
    <w:p w:rsidR="001E3A61" w:rsidRPr="003566ED" w:rsidRDefault="009B37DB" w:rsidP="003566ED">
      <w:pPr>
        <w:spacing w:line="276" w:lineRule="auto"/>
        <w:rPr>
          <w:rFonts w:ascii="Ebrima" w:hAnsi="Ebrima"/>
          <w:sz w:val="20"/>
          <w:szCs w:val="20"/>
        </w:rPr>
      </w:pPr>
      <w:r w:rsidRPr="003566ED">
        <w:rPr>
          <w:rFonts w:ascii="Ebrima" w:eastAsia="Ebrima" w:hAnsi="Ebrima" w:cs="Ebrima"/>
          <w:sz w:val="20"/>
          <w:szCs w:val="20"/>
        </w:rPr>
        <w:t xml:space="preserve">La FNCCR convient du découpage de la régulation envisagé par l’ARCEP entre </w:t>
      </w:r>
      <w:r w:rsidRPr="003566ED">
        <w:rPr>
          <w:rFonts w:ascii="Ebrima" w:eastAsia="Ebrima" w:hAnsi="Ebrima" w:cs="Ebrima"/>
          <w:b/>
          <w:sz w:val="20"/>
          <w:szCs w:val="20"/>
        </w:rPr>
        <w:t>une zone fibrée / de migration accélérée</w:t>
      </w:r>
      <w:r w:rsidRPr="003566ED">
        <w:rPr>
          <w:rFonts w:ascii="Ebrima" w:eastAsia="Ebrima" w:hAnsi="Ebrima" w:cs="Ebrima"/>
          <w:sz w:val="20"/>
          <w:szCs w:val="20"/>
        </w:rPr>
        <w:t xml:space="preserve"> (régulation tarifaire assouplie) et une </w:t>
      </w:r>
      <w:r w:rsidRPr="003566ED">
        <w:rPr>
          <w:rFonts w:ascii="Ebrima" w:eastAsia="Ebrima" w:hAnsi="Ebrima" w:cs="Ebrima"/>
          <w:b/>
          <w:sz w:val="20"/>
          <w:szCs w:val="20"/>
        </w:rPr>
        <w:t>zone d’orientation vers les coûts</w:t>
      </w:r>
      <w:r w:rsidRPr="003566ED">
        <w:rPr>
          <w:rFonts w:ascii="Ebrima" w:eastAsia="Ebrima" w:hAnsi="Ebrima" w:cs="Ebrima"/>
          <w:sz w:val="20"/>
          <w:szCs w:val="20"/>
        </w:rPr>
        <w:t xml:space="preserve"> (maintien de la régulation habituelle). La FNCCR considère que la zone de migration accélérée doit être désignée par </w:t>
      </w:r>
      <w:r w:rsidRPr="003566ED">
        <w:rPr>
          <w:rFonts w:ascii="Ebrima" w:eastAsia="Ebrima" w:hAnsi="Ebrima" w:cs="Ebrima"/>
          <w:b/>
          <w:sz w:val="20"/>
          <w:szCs w:val="20"/>
        </w:rPr>
        <w:t>zone fibrée,</w:t>
      </w:r>
      <w:r w:rsidRPr="003566ED">
        <w:rPr>
          <w:rFonts w:ascii="Ebrima" w:eastAsia="Ebrima" w:hAnsi="Ebrima" w:cs="Ebrima"/>
          <w:sz w:val="20"/>
          <w:szCs w:val="20"/>
        </w:rPr>
        <w:t xml:space="preserve"> terme défini par la loi. </w:t>
      </w:r>
    </w:p>
    <w:p w:rsidR="001E3A61" w:rsidRPr="003566ED" w:rsidRDefault="009B37DB" w:rsidP="003566ED">
      <w:pPr>
        <w:spacing w:line="276" w:lineRule="auto"/>
        <w:rPr>
          <w:rFonts w:ascii="Ebrima" w:hAnsi="Ebrima"/>
          <w:sz w:val="20"/>
          <w:szCs w:val="20"/>
        </w:rPr>
      </w:pPr>
      <w:r w:rsidRPr="003566ED">
        <w:rPr>
          <w:rFonts w:ascii="Ebrima" w:eastAsia="Ebrima" w:hAnsi="Ebrima" w:cs="Ebrima"/>
          <w:sz w:val="20"/>
          <w:szCs w:val="20"/>
        </w:rPr>
        <w:t xml:space="preserve">La FNCCR note que l’Autorité convient comme elle que les abonnés cuivre doivent </w:t>
      </w:r>
      <w:r w:rsidRPr="003566ED">
        <w:rPr>
          <w:rFonts w:ascii="Ebrima" w:eastAsia="Ebrima" w:hAnsi="Ebrima" w:cs="Ebrima"/>
          <w:b/>
          <w:sz w:val="20"/>
          <w:szCs w:val="20"/>
        </w:rPr>
        <w:t>migrer immédiatement sur la nouvelle infrastructure BLOM</w:t>
      </w:r>
      <w:r w:rsidRPr="003566ED">
        <w:rPr>
          <w:rFonts w:ascii="Ebrima" w:eastAsia="Ebrima" w:hAnsi="Ebrima" w:cs="Ebrima"/>
          <w:sz w:val="20"/>
          <w:szCs w:val="20"/>
        </w:rPr>
        <w:t xml:space="preserve"> de manière à créer les conditions du « switch off » du réseau cuivre. En même temps, la FNCCR est convaincue que la migration rapide n’est pas qu’une affaire de régulation tarifaire adaptée, mais surtout de volonté politique des élus et d’une politique commerciale offensive des opérateurs. </w:t>
      </w:r>
      <w:r w:rsidRPr="003566ED">
        <w:rPr>
          <w:rFonts w:ascii="Ebrima" w:eastAsia="Ebrima" w:hAnsi="Ebrima" w:cs="Ebrima"/>
          <w:b/>
          <w:sz w:val="20"/>
          <w:szCs w:val="20"/>
        </w:rPr>
        <w:t>Au besoin, la loi devrait imposer une date butoir d’extinction du cuivre (2030)</w:t>
      </w:r>
      <w:r w:rsidRPr="003566ED">
        <w:rPr>
          <w:rFonts w:ascii="Ebrima" w:eastAsia="Ebrima" w:hAnsi="Ebrima" w:cs="Ebrima"/>
          <w:sz w:val="20"/>
          <w:szCs w:val="20"/>
        </w:rPr>
        <w:t>.</w:t>
      </w:r>
    </w:p>
    <w:p w:rsidR="001E3A61" w:rsidRPr="003566ED" w:rsidRDefault="009B37DB" w:rsidP="003566ED">
      <w:pPr>
        <w:spacing w:line="276" w:lineRule="auto"/>
        <w:rPr>
          <w:rFonts w:ascii="Ebrima" w:hAnsi="Ebrima"/>
          <w:sz w:val="20"/>
          <w:szCs w:val="20"/>
        </w:rPr>
      </w:pPr>
      <w:r w:rsidRPr="003566ED">
        <w:rPr>
          <w:rFonts w:ascii="Ebrima" w:eastAsia="Ebrima" w:hAnsi="Ebrima" w:cs="Ebrima"/>
          <w:b/>
          <w:sz w:val="20"/>
          <w:szCs w:val="20"/>
        </w:rPr>
        <w:t>La FNCCR est favorable à la mise en place d’un dispositif incitatif à l’augmentation du tarif de gros de la paire de cuivre.</w:t>
      </w:r>
      <w:r w:rsidRPr="003566ED">
        <w:rPr>
          <w:rFonts w:ascii="Ebrima" w:eastAsia="Ebrima" w:hAnsi="Ebrima" w:cs="Ebrima"/>
          <w:sz w:val="20"/>
          <w:szCs w:val="20"/>
        </w:rPr>
        <w:t xml:space="preserve"> </w:t>
      </w:r>
    </w:p>
    <w:p w:rsidR="001E3A61" w:rsidRPr="003566ED" w:rsidRDefault="009B37DB" w:rsidP="003566ED">
      <w:pPr>
        <w:spacing w:line="276" w:lineRule="auto"/>
        <w:rPr>
          <w:rFonts w:ascii="Ebrima" w:hAnsi="Ebrima"/>
          <w:sz w:val="20"/>
          <w:szCs w:val="20"/>
        </w:rPr>
      </w:pPr>
      <w:r w:rsidRPr="003566ED">
        <w:rPr>
          <w:rFonts w:ascii="Ebrima" w:eastAsia="Ebrima" w:hAnsi="Ebrima" w:cs="Ebrima"/>
          <w:sz w:val="20"/>
          <w:szCs w:val="20"/>
        </w:rPr>
        <w:t xml:space="preserve">La FNCCR convient également de l’évolution de la méthode de détermination des coûts qu’envisage l’Autorité pour se conformer davantage à la recommandation de la CE, plus adaptée aux caractéristiques du (futur) marché de la BLOM et de la multiplicité de ses opérateurs. Il est constaté en outre que cette dernière méthode </w:t>
      </w:r>
      <w:r w:rsidRPr="003566ED">
        <w:rPr>
          <w:rFonts w:ascii="Ebrima" w:eastAsia="Ebrima" w:hAnsi="Ebrima" w:cs="Ebrima"/>
          <w:b/>
          <w:sz w:val="20"/>
          <w:szCs w:val="20"/>
        </w:rPr>
        <w:t xml:space="preserve">est de nature à maximiser les coûts, </w:t>
      </w:r>
      <w:r w:rsidRPr="003566ED">
        <w:rPr>
          <w:rFonts w:ascii="Ebrima" w:eastAsia="Ebrima" w:hAnsi="Ebrima" w:cs="Ebrima"/>
          <w:sz w:val="20"/>
          <w:szCs w:val="20"/>
        </w:rPr>
        <w:t>ce qui va dans le sens de l’assouplissement de la régulation et de l’effet recherché de migration du cuivre vers la fibre.</w:t>
      </w:r>
    </w:p>
    <w:p w:rsidR="001E3A61" w:rsidRPr="003566ED" w:rsidRDefault="009B37DB" w:rsidP="003566ED">
      <w:pPr>
        <w:spacing w:line="276" w:lineRule="auto"/>
        <w:rPr>
          <w:rFonts w:ascii="Ebrima" w:hAnsi="Ebrima"/>
          <w:sz w:val="20"/>
          <w:szCs w:val="20"/>
        </w:rPr>
      </w:pPr>
      <w:r w:rsidRPr="003566ED">
        <w:rPr>
          <w:rFonts w:ascii="Ebrima" w:eastAsia="Ebrima" w:hAnsi="Ebrima" w:cs="Ebrima"/>
          <w:sz w:val="20"/>
          <w:szCs w:val="20"/>
        </w:rPr>
        <w:t>Les zones fibrées peuvent donc être définies :</w:t>
      </w:r>
    </w:p>
    <w:p w:rsidR="001E3A61" w:rsidRPr="003566ED" w:rsidRDefault="009B37DB" w:rsidP="003566ED">
      <w:pPr>
        <w:numPr>
          <w:ilvl w:val="0"/>
          <w:numId w:val="5"/>
        </w:numPr>
        <w:spacing w:line="276" w:lineRule="auto"/>
        <w:ind w:hanging="360"/>
        <w:contextualSpacing/>
        <w:rPr>
          <w:rFonts w:ascii="Ebrima" w:hAnsi="Ebrima"/>
          <w:sz w:val="20"/>
          <w:szCs w:val="20"/>
        </w:rPr>
      </w:pPr>
      <w:r w:rsidRPr="003566ED">
        <w:rPr>
          <w:rFonts w:ascii="Ebrima" w:eastAsia="Ebrima" w:hAnsi="Ebrima" w:cs="Ebrima"/>
          <w:sz w:val="20"/>
          <w:szCs w:val="20"/>
        </w:rPr>
        <w:t xml:space="preserve">Techniquement, comme un ensemble de ZAPM, </w:t>
      </w:r>
      <w:r w:rsidRPr="003566ED">
        <w:rPr>
          <w:rFonts w:ascii="Ebrima" w:eastAsia="Ebrima" w:hAnsi="Ebrima" w:cs="Ebrima"/>
          <w:b/>
          <w:sz w:val="20"/>
          <w:szCs w:val="20"/>
        </w:rPr>
        <w:t xml:space="preserve">contiguës de préférence, d’au moins 10 000 prises </w:t>
      </w:r>
      <w:proofErr w:type="spellStart"/>
      <w:r w:rsidRPr="003566ED">
        <w:rPr>
          <w:rFonts w:ascii="Ebrima" w:eastAsia="Ebrima" w:hAnsi="Ebrima" w:cs="Ebrima"/>
          <w:b/>
          <w:sz w:val="20"/>
          <w:szCs w:val="20"/>
        </w:rPr>
        <w:t>FttH</w:t>
      </w:r>
      <w:proofErr w:type="spellEnd"/>
      <w:r w:rsidRPr="003566ED">
        <w:rPr>
          <w:rFonts w:ascii="Ebrima" w:eastAsia="Ebrima" w:hAnsi="Ebrima" w:cs="Ebrima"/>
          <w:sz w:val="20"/>
          <w:szCs w:val="20"/>
        </w:rPr>
        <w:t xml:space="preserve"> ;</w:t>
      </w:r>
    </w:p>
    <w:p w:rsidR="001E3A61" w:rsidRPr="003566ED" w:rsidRDefault="009B37DB" w:rsidP="003566ED">
      <w:pPr>
        <w:numPr>
          <w:ilvl w:val="0"/>
          <w:numId w:val="5"/>
        </w:numPr>
        <w:spacing w:before="0" w:line="276" w:lineRule="auto"/>
        <w:ind w:hanging="360"/>
        <w:contextualSpacing/>
        <w:rPr>
          <w:rFonts w:ascii="Ebrima" w:hAnsi="Ebrima"/>
          <w:sz w:val="20"/>
          <w:szCs w:val="20"/>
        </w:rPr>
      </w:pPr>
      <w:r w:rsidRPr="003566ED">
        <w:rPr>
          <w:rFonts w:ascii="Ebrima" w:eastAsia="Ebrima" w:hAnsi="Ebrima" w:cs="Ebrima"/>
          <w:sz w:val="20"/>
          <w:szCs w:val="20"/>
        </w:rPr>
        <w:t xml:space="preserve">Politiquement, administrativement et commercialement, comme une ou plusieurs communes ou arrondissements pris dans leur intégralité, </w:t>
      </w:r>
      <w:r w:rsidRPr="003566ED">
        <w:rPr>
          <w:rFonts w:ascii="Ebrima" w:eastAsia="Ebrima" w:hAnsi="Ebrima" w:cs="Ebrima"/>
          <w:b/>
          <w:sz w:val="20"/>
          <w:szCs w:val="20"/>
        </w:rPr>
        <w:t>en faveur d’une communication lisible</w:t>
      </w:r>
      <w:r w:rsidRPr="003566ED">
        <w:rPr>
          <w:rFonts w:ascii="Ebrima" w:eastAsia="Ebrima" w:hAnsi="Ebrima" w:cs="Ebrima"/>
          <w:sz w:val="20"/>
          <w:szCs w:val="20"/>
        </w:rPr>
        <w:t>.</w:t>
      </w:r>
    </w:p>
    <w:p w:rsidR="001E3A61" w:rsidRPr="003566ED" w:rsidRDefault="009B37DB" w:rsidP="00DB1874">
      <w:pPr>
        <w:spacing w:after="120" w:line="276" w:lineRule="auto"/>
        <w:rPr>
          <w:rFonts w:ascii="Ebrima" w:hAnsi="Ebrima"/>
          <w:sz w:val="20"/>
          <w:szCs w:val="20"/>
        </w:rPr>
      </w:pPr>
      <w:r w:rsidRPr="003566ED">
        <w:rPr>
          <w:rFonts w:ascii="Ebrima" w:eastAsia="Ebrima" w:hAnsi="Ebrima" w:cs="Ebrima"/>
          <w:sz w:val="20"/>
          <w:szCs w:val="20"/>
        </w:rPr>
        <w:t>La FNCCR souhaite</w:t>
      </w:r>
      <w:r w:rsidRPr="003566ED">
        <w:rPr>
          <w:rFonts w:ascii="Ebrima" w:eastAsia="Ebrima" w:hAnsi="Ebrima" w:cs="Ebrima"/>
          <w:b/>
          <w:sz w:val="20"/>
          <w:szCs w:val="20"/>
        </w:rPr>
        <w:t xml:space="preserve"> une actualisation au semestre </w:t>
      </w:r>
      <w:r w:rsidRPr="003566ED">
        <w:rPr>
          <w:rFonts w:ascii="Ebrima" w:eastAsia="Ebrima" w:hAnsi="Ebrima" w:cs="Ebrima"/>
          <w:sz w:val="20"/>
          <w:szCs w:val="20"/>
        </w:rPr>
        <w:t>de la zone fibrée</w:t>
      </w:r>
      <w:r w:rsidRPr="003566ED">
        <w:rPr>
          <w:rFonts w:ascii="Ebrima" w:eastAsia="Ebrima" w:hAnsi="Ebrima" w:cs="Ebrima"/>
          <w:b/>
          <w:sz w:val="20"/>
          <w:szCs w:val="20"/>
        </w:rPr>
        <w:t xml:space="preserve"> </w:t>
      </w:r>
      <w:r w:rsidRPr="003566ED">
        <w:rPr>
          <w:rFonts w:ascii="Ebrima" w:eastAsia="Ebrima" w:hAnsi="Ebrima" w:cs="Ebrima"/>
          <w:sz w:val="20"/>
          <w:szCs w:val="20"/>
        </w:rPr>
        <w:t xml:space="preserve">de manière à donner un signal fort sur le basculement sur la fibre. Certes, l’adaptation permanente à l’élargissement régulier de cette zone sera une difficulté supplémentaire pour les opérateurs, mais la FNCCR considère qu’il est du rôle des pouvoirs publics que de préparer le secteur aux chantiers des mutations technologiques de grande ampleur à intervenir (fin du RTC, migration sur la fibre). </w:t>
      </w:r>
      <w:r w:rsidRPr="003566ED">
        <w:rPr>
          <w:rFonts w:ascii="Ebrima" w:eastAsia="Ebrima" w:hAnsi="Ebrima" w:cs="Ebrima"/>
          <w:b/>
          <w:sz w:val="20"/>
          <w:szCs w:val="20"/>
        </w:rPr>
        <w:t>C’est aussi à l’occasion de l’attribution du statut de zone fibrée que la pose de cuivre devrait prendre fin dans la zone considérée.</w:t>
      </w:r>
    </w:p>
    <w:tbl>
      <w:tblPr>
        <w:tblStyle w:val="a5"/>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3566ED" w:rsidRPr="003566ED" w:rsidTr="00D77EB1">
        <w:trPr>
          <w:trHeight w:val="1220"/>
        </w:trPr>
        <w:tc>
          <w:tcPr>
            <w:tcW w:w="1418" w:type="dxa"/>
            <w:vAlign w:val="center"/>
          </w:tcPr>
          <w:p w:rsidR="001E3A61" w:rsidRPr="003566ED" w:rsidRDefault="009B37DB" w:rsidP="003566ED">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Question 7 </w:t>
            </w:r>
          </w:p>
        </w:tc>
        <w:tc>
          <w:tcPr>
            <w:tcW w:w="7706" w:type="dxa"/>
            <w:vAlign w:val="center"/>
          </w:tcPr>
          <w:p w:rsidR="001E3A61" w:rsidRPr="003566ED" w:rsidRDefault="009B37DB" w:rsidP="003566ED">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 xml:space="preserve">L’Autorité invite les acteurs à répondre directement à la consultation publique sur son projet de recommandation sur l’accès aux réseaux en fibre optique à très haut débit avec une qualité de service améliorée ou portant sur l’utilisation de fibres surnuméraires, ouverte du 14 juin au 26 juillet 2016. </w:t>
            </w:r>
          </w:p>
        </w:tc>
      </w:tr>
    </w:tbl>
    <w:p w:rsidR="001E3A61" w:rsidRPr="003566ED" w:rsidRDefault="009B37DB" w:rsidP="003566ED">
      <w:pPr>
        <w:spacing w:line="276" w:lineRule="auto"/>
        <w:rPr>
          <w:rFonts w:ascii="Ebrima" w:hAnsi="Ebrima"/>
          <w:sz w:val="20"/>
          <w:szCs w:val="20"/>
        </w:rPr>
      </w:pPr>
      <w:r w:rsidRPr="003566ED">
        <w:rPr>
          <w:rFonts w:ascii="Ebrima" w:eastAsia="Ebrima" w:hAnsi="Ebrima" w:cs="Ebrima"/>
          <w:sz w:val="20"/>
          <w:szCs w:val="20"/>
        </w:rPr>
        <w:t>La FNCCR a contribué à cette consultation.</w:t>
      </w:r>
    </w:p>
    <w:p w:rsidR="001E3A61" w:rsidRPr="003566ED" w:rsidRDefault="009B37DB" w:rsidP="003566ED">
      <w:pPr>
        <w:spacing w:line="276" w:lineRule="auto"/>
        <w:rPr>
          <w:rFonts w:ascii="Ebrima" w:hAnsi="Ebrima"/>
          <w:sz w:val="20"/>
          <w:szCs w:val="20"/>
        </w:rPr>
      </w:pPr>
      <w:r w:rsidRPr="003566ED">
        <w:rPr>
          <w:rFonts w:ascii="Ebrima" w:eastAsia="Ebrima" w:hAnsi="Ebrima" w:cs="Ebrima"/>
          <w:sz w:val="20"/>
          <w:szCs w:val="20"/>
        </w:rPr>
        <w:t xml:space="preserve">La FNCCR entend réaffirmer </w:t>
      </w:r>
      <w:r w:rsidRPr="003566ED">
        <w:rPr>
          <w:rFonts w:ascii="Ebrima" w:eastAsia="Ebrima" w:hAnsi="Ebrima" w:cs="Ebrima"/>
          <w:b/>
          <w:sz w:val="20"/>
          <w:szCs w:val="20"/>
        </w:rPr>
        <w:t>le rôle des RIP dans le marché de gros « entreprises »</w:t>
      </w:r>
      <w:r w:rsidRPr="003566ED">
        <w:rPr>
          <w:rFonts w:ascii="Ebrima" w:eastAsia="Ebrima" w:hAnsi="Ebrima" w:cs="Ebrima"/>
          <w:sz w:val="20"/>
          <w:szCs w:val="20"/>
        </w:rPr>
        <w:t xml:space="preserve">, forts d’une expérience acquise depuis une dizaine d’année. Les RIP alimentent et doivent continuer d’alimenter le marché de gros de chaque segment du marché de détail « entreprises » (cf. question partie 2 suivante), que ce soit par </w:t>
      </w:r>
      <w:r w:rsidRPr="003566ED">
        <w:rPr>
          <w:rFonts w:ascii="Ebrima" w:eastAsia="Ebrima" w:hAnsi="Ebrima" w:cs="Ebrima"/>
          <w:b/>
          <w:sz w:val="20"/>
          <w:szCs w:val="20"/>
        </w:rPr>
        <w:t>des offres passives ou activées sur BLOM (et BLOD)</w:t>
      </w:r>
      <w:r w:rsidRPr="003566ED">
        <w:rPr>
          <w:rFonts w:ascii="Ebrima" w:eastAsia="Ebrima" w:hAnsi="Ebrima" w:cs="Ebrima"/>
          <w:sz w:val="20"/>
          <w:szCs w:val="20"/>
        </w:rPr>
        <w:t xml:space="preserve">. </w:t>
      </w:r>
    </w:p>
    <w:p w:rsidR="001E3A61" w:rsidRPr="003566ED" w:rsidRDefault="009B37DB" w:rsidP="003566ED">
      <w:pPr>
        <w:spacing w:line="276" w:lineRule="auto"/>
        <w:rPr>
          <w:rFonts w:ascii="Ebrima" w:hAnsi="Ebrima"/>
          <w:sz w:val="20"/>
          <w:szCs w:val="20"/>
        </w:rPr>
      </w:pPr>
      <w:r w:rsidRPr="003566ED">
        <w:rPr>
          <w:rFonts w:ascii="Ebrima" w:eastAsia="Ebrima" w:hAnsi="Ebrima" w:cs="Ebrima"/>
          <w:sz w:val="20"/>
          <w:szCs w:val="20"/>
        </w:rPr>
        <w:t xml:space="preserve">La FNCCR considère que désormais le marché « entreprises » s’étend aux réseaux supportant </w:t>
      </w:r>
      <w:r w:rsidRPr="003566ED">
        <w:rPr>
          <w:rFonts w:ascii="Ebrima" w:eastAsia="Ebrima" w:hAnsi="Ebrima" w:cs="Ebrima"/>
          <w:b/>
          <w:sz w:val="20"/>
          <w:szCs w:val="20"/>
        </w:rPr>
        <w:t>les territoires intelligents</w:t>
      </w:r>
      <w:r w:rsidRPr="003566ED">
        <w:rPr>
          <w:rFonts w:ascii="Ebrima" w:eastAsia="Ebrima" w:hAnsi="Ebrima" w:cs="Ebrima"/>
          <w:sz w:val="20"/>
          <w:szCs w:val="20"/>
        </w:rPr>
        <w:t>.</w:t>
      </w:r>
    </w:p>
    <w:p w:rsidR="001E3A61" w:rsidRPr="003566ED" w:rsidRDefault="009B37DB" w:rsidP="003566ED">
      <w:pPr>
        <w:spacing w:line="276" w:lineRule="auto"/>
        <w:rPr>
          <w:rFonts w:ascii="Ebrima" w:hAnsi="Ebrima"/>
          <w:sz w:val="20"/>
          <w:szCs w:val="20"/>
        </w:rPr>
      </w:pPr>
      <w:r w:rsidRPr="003566ED">
        <w:rPr>
          <w:rFonts w:ascii="Ebrima" w:eastAsia="Ebrima" w:hAnsi="Ebrima" w:cs="Ebrima"/>
          <w:sz w:val="20"/>
          <w:szCs w:val="20"/>
        </w:rPr>
        <w:t>La FNCCR est globalement d’accord avec cet état des lieux et convient de la segmentation des offres « entreprises » :</w:t>
      </w:r>
    </w:p>
    <w:p w:rsidR="001E3A61" w:rsidRPr="003566ED" w:rsidRDefault="009B37DB" w:rsidP="003566ED">
      <w:pPr>
        <w:numPr>
          <w:ilvl w:val="0"/>
          <w:numId w:val="1"/>
        </w:numPr>
        <w:spacing w:line="276" w:lineRule="auto"/>
        <w:ind w:hanging="360"/>
        <w:contextualSpacing/>
        <w:rPr>
          <w:rFonts w:ascii="Ebrima" w:eastAsia="Ebrima" w:hAnsi="Ebrima" w:cs="Ebrima"/>
          <w:sz w:val="20"/>
          <w:szCs w:val="20"/>
        </w:rPr>
      </w:pPr>
      <w:r w:rsidRPr="003566ED">
        <w:rPr>
          <w:rFonts w:ascii="Ebrima" w:eastAsia="Ebrima" w:hAnsi="Ebrima" w:cs="Ebrima"/>
          <w:sz w:val="20"/>
          <w:szCs w:val="20"/>
        </w:rPr>
        <w:t xml:space="preserve"> </w:t>
      </w:r>
      <w:r w:rsidRPr="003566ED">
        <w:rPr>
          <w:rFonts w:ascii="Ebrima" w:eastAsia="Ebrima" w:hAnsi="Ebrima" w:cs="Ebrima"/>
          <w:b/>
          <w:sz w:val="20"/>
          <w:szCs w:val="20"/>
        </w:rPr>
        <w:t>« </w:t>
      </w:r>
      <w:proofErr w:type="spellStart"/>
      <w:r w:rsidRPr="003566ED">
        <w:rPr>
          <w:rFonts w:ascii="Ebrima" w:eastAsia="Ebrima" w:hAnsi="Ebrima" w:cs="Ebrima"/>
          <w:b/>
          <w:sz w:val="20"/>
          <w:szCs w:val="20"/>
        </w:rPr>
        <w:t>FttH</w:t>
      </w:r>
      <w:proofErr w:type="spellEnd"/>
      <w:r w:rsidRPr="003566ED">
        <w:rPr>
          <w:rFonts w:ascii="Ebrima" w:eastAsia="Ebrima" w:hAnsi="Ebrima" w:cs="Ebrima"/>
          <w:b/>
          <w:sz w:val="20"/>
          <w:szCs w:val="20"/>
        </w:rPr>
        <w:t xml:space="preserve"> pro »</w:t>
      </w:r>
      <w:r w:rsidRPr="003566ED">
        <w:rPr>
          <w:rFonts w:ascii="Ebrima" w:eastAsia="Ebrima" w:hAnsi="Ebrima" w:cs="Ebrima"/>
          <w:sz w:val="20"/>
          <w:szCs w:val="20"/>
        </w:rPr>
        <w:t xml:space="preserve">, sur BLOM, satisfaisant des </w:t>
      </w:r>
      <w:r w:rsidRPr="003566ED">
        <w:rPr>
          <w:rFonts w:ascii="Ebrima" w:eastAsia="Ebrima" w:hAnsi="Ebrima" w:cs="Ebrima"/>
          <w:b/>
          <w:sz w:val="20"/>
          <w:szCs w:val="20"/>
        </w:rPr>
        <w:t>besoins généralistes</w:t>
      </w:r>
      <w:r w:rsidRPr="003566ED">
        <w:rPr>
          <w:rFonts w:ascii="Ebrima" w:eastAsia="Ebrima" w:hAnsi="Ebrima" w:cs="Ebrima"/>
          <w:sz w:val="20"/>
          <w:szCs w:val="20"/>
        </w:rPr>
        <w:t xml:space="preserve"> avec un minimum de </w:t>
      </w:r>
      <w:proofErr w:type="spellStart"/>
      <w:r w:rsidRPr="003566ED">
        <w:rPr>
          <w:rFonts w:ascii="Ebrima" w:eastAsia="Ebrima" w:hAnsi="Ebrima" w:cs="Ebrima"/>
          <w:sz w:val="20"/>
          <w:szCs w:val="20"/>
        </w:rPr>
        <w:t>QoS</w:t>
      </w:r>
      <w:proofErr w:type="spellEnd"/>
      <w:r w:rsidRPr="003566ED">
        <w:rPr>
          <w:rFonts w:ascii="Ebrima" w:eastAsia="Ebrima" w:hAnsi="Ebrima" w:cs="Ebrima"/>
          <w:sz w:val="20"/>
          <w:szCs w:val="20"/>
        </w:rPr>
        <w:t xml:space="preserve"> et de </w:t>
      </w:r>
      <w:proofErr w:type="spellStart"/>
      <w:r w:rsidRPr="003566ED">
        <w:rPr>
          <w:rFonts w:ascii="Ebrima" w:eastAsia="Ebrima" w:hAnsi="Ebrima" w:cs="Ebrima"/>
          <w:sz w:val="20"/>
          <w:szCs w:val="20"/>
        </w:rPr>
        <w:t>SLAs</w:t>
      </w:r>
      <w:proofErr w:type="spellEnd"/>
      <w:r w:rsidRPr="003566ED">
        <w:rPr>
          <w:rFonts w:ascii="Ebrima" w:eastAsia="Ebrima" w:hAnsi="Ebrima" w:cs="Ebrima"/>
          <w:sz w:val="20"/>
          <w:szCs w:val="20"/>
        </w:rPr>
        <w:t>, adaptées aux TPE, PME. Débit = 100 Mbps</w:t>
      </w:r>
    </w:p>
    <w:p w:rsidR="001E3A61" w:rsidRPr="003566ED" w:rsidRDefault="009B37DB" w:rsidP="003566ED">
      <w:pPr>
        <w:numPr>
          <w:ilvl w:val="0"/>
          <w:numId w:val="1"/>
        </w:numPr>
        <w:spacing w:before="0" w:line="276" w:lineRule="auto"/>
        <w:ind w:hanging="360"/>
        <w:contextualSpacing/>
        <w:rPr>
          <w:rFonts w:ascii="Ebrima" w:eastAsia="Ebrima" w:hAnsi="Ebrima" w:cs="Ebrima"/>
          <w:sz w:val="20"/>
          <w:szCs w:val="20"/>
        </w:rPr>
      </w:pPr>
      <w:r w:rsidRPr="003566ED">
        <w:rPr>
          <w:rFonts w:ascii="Ebrima" w:eastAsia="Ebrima" w:hAnsi="Ebrima" w:cs="Ebrima"/>
          <w:sz w:val="20"/>
          <w:szCs w:val="20"/>
        </w:rPr>
        <w:t xml:space="preserve"> « </w:t>
      </w:r>
      <w:proofErr w:type="spellStart"/>
      <w:r w:rsidRPr="003566ED">
        <w:rPr>
          <w:rFonts w:ascii="Ebrima" w:eastAsia="Ebrima" w:hAnsi="Ebrima" w:cs="Ebrima"/>
          <w:b/>
          <w:sz w:val="20"/>
          <w:szCs w:val="20"/>
        </w:rPr>
        <w:t>FttE</w:t>
      </w:r>
      <w:proofErr w:type="spellEnd"/>
      <w:r w:rsidRPr="003566ED">
        <w:rPr>
          <w:rFonts w:ascii="Ebrima" w:eastAsia="Ebrima" w:hAnsi="Ebrima" w:cs="Ebrima"/>
          <w:sz w:val="20"/>
          <w:szCs w:val="20"/>
        </w:rPr>
        <w:t xml:space="preserve">, » sur </w:t>
      </w:r>
      <w:r w:rsidRPr="003566ED">
        <w:rPr>
          <w:rFonts w:ascii="Ebrima" w:eastAsia="Ebrima" w:hAnsi="Ebrima" w:cs="Ebrima"/>
          <w:b/>
          <w:sz w:val="20"/>
          <w:szCs w:val="20"/>
        </w:rPr>
        <w:t>fibre dédiée (surnuméraire</w:t>
      </w:r>
      <w:r w:rsidRPr="003566ED">
        <w:rPr>
          <w:rFonts w:ascii="Ebrima" w:eastAsia="Ebrima" w:hAnsi="Ebrima" w:cs="Ebrima"/>
          <w:sz w:val="20"/>
          <w:szCs w:val="20"/>
        </w:rPr>
        <w:t xml:space="preserve"> sur le segment NRO-PTO, sans brassage, avec une connectique sécurisée) au sein d’un architecture BLOM, avec une </w:t>
      </w:r>
      <w:proofErr w:type="spellStart"/>
      <w:r w:rsidRPr="003566ED">
        <w:rPr>
          <w:rFonts w:ascii="Ebrima" w:eastAsia="Ebrima" w:hAnsi="Ebrima" w:cs="Ebrima"/>
          <w:sz w:val="20"/>
          <w:szCs w:val="20"/>
        </w:rPr>
        <w:t>QoS</w:t>
      </w:r>
      <w:proofErr w:type="spellEnd"/>
      <w:r w:rsidRPr="003566ED">
        <w:rPr>
          <w:rFonts w:ascii="Ebrima" w:eastAsia="Ebrima" w:hAnsi="Ebrima" w:cs="Ebrima"/>
          <w:sz w:val="20"/>
          <w:szCs w:val="20"/>
        </w:rPr>
        <w:t xml:space="preserve"> renforcée nominale, adaptée à </w:t>
      </w:r>
      <w:r w:rsidRPr="003566ED">
        <w:rPr>
          <w:rFonts w:ascii="Ebrima" w:eastAsia="Ebrima" w:hAnsi="Ebrima" w:cs="Ebrima"/>
          <w:b/>
          <w:sz w:val="20"/>
          <w:szCs w:val="20"/>
        </w:rPr>
        <w:t>des besoins spécifiques</w:t>
      </w:r>
      <w:r w:rsidRPr="003566ED">
        <w:rPr>
          <w:rFonts w:ascii="Ebrima" w:eastAsia="Ebrima" w:hAnsi="Ebrima" w:cs="Ebrima"/>
          <w:sz w:val="20"/>
          <w:szCs w:val="20"/>
        </w:rPr>
        <w:t xml:space="preserve"> « entreprises », dont grandes PME et ETI. Débit = 500 Mbps</w:t>
      </w:r>
    </w:p>
    <w:p w:rsidR="001E3A61" w:rsidRPr="003566ED" w:rsidRDefault="009B37DB" w:rsidP="003566ED">
      <w:pPr>
        <w:numPr>
          <w:ilvl w:val="0"/>
          <w:numId w:val="1"/>
        </w:numPr>
        <w:spacing w:before="0" w:line="276" w:lineRule="auto"/>
        <w:ind w:hanging="360"/>
        <w:contextualSpacing/>
        <w:rPr>
          <w:rFonts w:ascii="Ebrima" w:eastAsia="Ebrima" w:hAnsi="Ebrima" w:cs="Ebrima"/>
          <w:sz w:val="20"/>
          <w:szCs w:val="20"/>
        </w:rPr>
      </w:pPr>
      <w:r w:rsidRPr="003566ED">
        <w:rPr>
          <w:rFonts w:ascii="Ebrima" w:eastAsia="Ebrima" w:hAnsi="Ebrima" w:cs="Ebrima"/>
          <w:sz w:val="20"/>
          <w:szCs w:val="20"/>
        </w:rPr>
        <w:t>« </w:t>
      </w:r>
      <w:proofErr w:type="spellStart"/>
      <w:r w:rsidRPr="003566ED">
        <w:rPr>
          <w:rFonts w:ascii="Ebrima" w:eastAsia="Ebrima" w:hAnsi="Ebrima" w:cs="Ebrima"/>
          <w:b/>
          <w:sz w:val="20"/>
          <w:szCs w:val="20"/>
        </w:rPr>
        <w:t>FttO</w:t>
      </w:r>
      <w:proofErr w:type="spellEnd"/>
      <w:r w:rsidRPr="003566ED">
        <w:rPr>
          <w:rFonts w:ascii="Ebrima" w:eastAsia="Ebrima" w:hAnsi="Ebrima" w:cs="Ebrima"/>
          <w:b/>
          <w:sz w:val="20"/>
          <w:szCs w:val="20"/>
        </w:rPr>
        <w:t> » / BLOD</w:t>
      </w:r>
      <w:r w:rsidRPr="003566ED">
        <w:rPr>
          <w:rFonts w:ascii="Ebrima" w:eastAsia="Ebrima" w:hAnsi="Ebrima" w:cs="Ebrima"/>
          <w:sz w:val="20"/>
          <w:szCs w:val="20"/>
        </w:rPr>
        <w:t xml:space="preserve">, que l’on peut considérer comme des </w:t>
      </w:r>
      <w:r w:rsidRPr="003566ED">
        <w:rPr>
          <w:rFonts w:ascii="Ebrima" w:eastAsia="Ebrima" w:hAnsi="Ebrima" w:cs="Ebrima"/>
          <w:b/>
          <w:sz w:val="20"/>
          <w:szCs w:val="20"/>
        </w:rPr>
        <w:t>offres haut de gamme</w:t>
      </w:r>
      <w:r w:rsidRPr="003566ED">
        <w:rPr>
          <w:rFonts w:ascii="Ebrima" w:eastAsia="Ebrima" w:hAnsi="Ebrima" w:cs="Ebrima"/>
          <w:sz w:val="20"/>
          <w:szCs w:val="20"/>
        </w:rPr>
        <w:t>, à destination des grands comptes. Débit = 1 GBPS</w:t>
      </w:r>
    </w:p>
    <w:p w:rsidR="001E3A61" w:rsidRPr="003566ED" w:rsidRDefault="009B37DB" w:rsidP="003566ED">
      <w:pPr>
        <w:spacing w:line="276" w:lineRule="auto"/>
        <w:rPr>
          <w:rFonts w:ascii="Ebrima" w:hAnsi="Ebrima"/>
          <w:sz w:val="20"/>
          <w:szCs w:val="20"/>
        </w:rPr>
      </w:pPr>
      <w:r w:rsidRPr="003566ED">
        <w:rPr>
          <w:rFonts w:ascii="Ebrima" w:eastAsia="Ebrima" w:hAnsi="Ebrima" w:cs="Ebrima"/>
          <w:sz w:val="20"/>
          <w:szCs w:val="20"/>
        </w:rPr>
        <w:t xml:space="preserve">La FNCCR convient qu’il y a bien un espace économique pour un acteur proposant des offres « entreprises » visant des entreprises à besoins spécifiques, ne nécessitant pas de la BLOD mais qui ne peuvent pas se contenter de </w:t>
      </w:r>
      <w:proofErr w:type="spellStart"/>
      <w:r w:rsidRPr="003566ED">
        <w:rPr>
          <w:rFonts w:ascii="Ebrima" w:eastAsia="Ebrima" w:hAnsi="Ebrima" w:cs="Ebrima"/>
          <w:sz w:val="20"/>
          <w:szCs w:val="20"/>
        </w:rPr>
        <w:t>FttH</w:t>
      </w:r>
      <w:proofErr w:type="spellEnd"/>
      <w:r w:rsidRPr="003566ED">
        <w:rPr>
          <w:rFonts w:ascii="Ebrima" w:eastAsia="Ebrima" w:hAnsi="Ebrima" w:cs="Ebrima"/>
          <w:sz w:val="20"/>
          <w:szCs w:val="20"/>
        </w:rPr>
        <w:t xml:space="preserve"> pro. Autrement dit, il s’agit bien d’offres s’inscrivant dans la continuité des offres SDSL, </w:t>
      </w:r>
      <w:r w:rsidRPr="003566ED">
        <w:rPr>
          <w:rFonts w:ascii="Ebrima" w:eastAsia="Ebrima" w:hAnsi="Ebrima" w:cs="Ebrima"/>
          <w:b/>
          <w:sz w:val="20"/>
          <w:szCs w:val="20"/>
        </w:rPr>
        <w:t xml:space="preserve">avec une </w:t>
      </w:r>
      <w:proofErr w:type="spellStart"/>
      <w:r w:rsidRPr="003566ED">
        <w:rPr>
          <w:rFonts w:ascii="Ebrima" w:eastAsia="Ebrima" w:hAnsi="Ebrima" w:cs="Ebrima"/>
          <w:b/>
          <w:sz w:val="20"/>
          <w:szCs w:val="20"/>
        </w:rPr>
        <w:t>QoS</w:t>
      </w:r>
      <w:proofErr w:type="spellEnd"/>
      <w:r w:rsidRPr="003566ED">
        <w:rPr>
          <w:rFonts w:ascii="Ebrima" w:eastAsia="Ebrima" w:hAnsi="Ebrima" w:cs="Ebrima"/>
          <w:b/>
          <w:sz w:val="20"/>
          <w:szCs w:val="20"/>
        </w:rPr>
        <w:t xml:space="preserve"> similaire (renforcée), mais requérant aujourd’hui des débits supérieurs aux capacités du cuivre</w:t>
      </w:r>
      <w:r w:rsidRPr="003566ED">
        <w:rPr>
          <w:rFonts w:ascii="Ebrima" w:eastAsia="Ebrima" w:hAnsi="Ebrima" w:cs="Ebrima"/>
          <w:sz w:val="20"/>
          <w:szCs w:val="20"/>
        </w:rPr>
        <w:t>.</w:t>
      </w:r>
    </w:p>
    <w:p w:rsidR="001E3A61" w:rsidRPr="003566ED" w:rsidRDefault="009B37DB" w:rsidP="003566ED">
      <w:pPr>
        <w:spacing w:line="276" w:lineRule="auto"/>
        <w:rPr>
          <w:rFonts w:ascii="Ebrima" w:hAnsi="Ebrima"/>
          <w:sz w:val="20"/>
          <w:szCs w:val="20"/>
        </w:rPr>
      </w:pPr>
      <w:r w:rsidRPr="003566ED">
        <w:rPr>
          <w:rFonts w:ascii="Ebrima" w:eastAsia="Ebrima" w:hAnsi="Ebrima" w:cs="Ebrima"/>
          <w:sz w:val="20"/>
          <w:szCs w:val="20"/>
        </w:rPr>
        <w:t xml:space="preserve">La FNCCR se félicite de l’arrivée </w:t>
      </w:r>
      <w:r w:rsidR="003B3080">
        <w:rPr>
          <w:rFonts w:ascii="Ebrima" w:eastAsia="Ebrima" w:hAnsi="Ebrima" w:cs="Ebrima"/>
          <w:sz w:val="20"/>
          <w:szCs w:val="20"/>
        </w:rPr>
        <w:t xml:space="preserve">possible </w:t>
      </w:r>
      <w:r w:rsidRPr="003566ED">
        <w:rPr>
          <w:rFonts w:ascii="Ebrima" w:eastAsia="Ebrima" w:hAnsi="Ebrima" w:cs="Ebrima"/>
          <w:sz w:val="20"/>
          <w:szCs w:val="20"/>
        </w:rPr>
        <w:t>d’un troisième acteur sur le marché de gros « entreprises », qui remonte relativement en amont de l’échelle des investissements :</w:t>
      </w:r>
    </w:p>
    <w:p w:rsidR="001E3A61" w:rsidRPr="003566ED" w:rsidRDefault="009B37DB" w:rsidP="003B3080">
      <w:pPr>
        <w:spacing w:after="120" w:line="276" w:lineRule="auto"/>
        <w:ind w:left="708"/>
        <w:rPr>
          <w:rFonts w:ascii="Ebrima" w:hAnsi="Ebrima"/>
          <w:sz w:val="20"/>
          <w:szCs w:val="20"/>
        </w:rPr>
      </w:pPr>
      <w:r w:rsidRPr="003566ED">
        <w:rPr>
          <w:rFonts w:ascii="Ebrima" w:eastAsia="Ebrima" w:hAnsi="Ebrima" w:cs="Ebrima"/>
          <w:sz w:val="20"/>
          <w:szCs w:val="20"/>
        </w:rPr>
        <w:t xml:space="preserve">1. pour animer la concurrence sur le marché de gros activé en zone très dense et être un client nouveau pour des RIP </w:t>
      </w:r>
      <w:proofErr w:type="spellStart"/>
      <w:r w:rsidRPr="003566ED">
        <w:rPr>
          <w:rFonts w:ascii="Ebrima" w:eastAsia="Ebrima" w:hAnsi="Ebrima" w:cs="Ebrima"/>
          <w:sz w:val="20"/>
          <w:szCs w:val="20"/>
        </w:rPr>
        <w:t>FttO</w:t>
      </w:r>
      <w:proofErr w:type="spellEnd"/>
      <w:r w:rsidRPr="003566ED">
        <w:rPr>
          <w:rFonts w:ascii="Ebrima" w:eastAsia="Ebrima" w:hAnsi="Ebrima" w:cs="Ebrima"/>
          <w:sz w:val="20"/>
          <w:szCs w:val="20"/>
        </w:rPr>
        <w:t xml:space="preserve"> (et à court terme IOT) précédemment cités (réseau IMT de Toulouse Métropole, SEQUANTIC du SIPPEREC, projet RIP du Grand Lyon, etc.) ;</w:t>
      </w:r>
    </w:p>
    <w:p w:rsidR="001E3A61" w:rsidRPr="003566ED" w:rsidRDefault="009B37DB" w:rsidP="003B3080">
      <w:pPr>
        <w:spacing w:after="120" w:line="276" w:lineRule="auto"/>
        <w:ind w:left="708"/>
        <w:rPr>
          <w:rFonts w:ascii="Ebrima" w:hAnsi="Ebrima"/>
          <w:sz w:val="20"/>
          <w:szCs w:val="20"/>
        </w:rPr>
      </w:pPr>
      <w:r w:rsidRPr="003566ED">
        <w:rPr>
          <w:rFonts w:ascii="Ebrima" w:eastAsia="Ebrima" w:hAnsi="Ebrima" w:cs="Ebrima"/>
          <w:sz w:val="20"/>
          <w:szCs w:val="20"/>
        </w:rPr>
        <w:t>2. dans les zones moins denses, pour offrir d’autres possibilités à des opérateurs de proximité trop dépendants (pour ne pas dire défavorisés par des tarifs d’éviction</w:t>
      </w:r>
      <w:r w:rsidR="009353AE">
        <w:rPr>
          <w:rFonts w:ascii="Ebrima" w:eastAsia="Ebrima" w:hAnsi="Ebrima" w:cs="Ebrima"/>
          <w:sz w:val="20"/>
          <w:szCs w:val="20"/>
        </w:rPr>
        <w:t xml:space="preserve"> ou des pratiques anti-concurrentielles</w:t>
      </w:r>
      <w:r w:rsidRPr="003566ED">
        <w:rPr>
          <w:rFonts w:ascii="Ebrima" w:eastAsia="Ebrima" w:hAnsi="Ebrima" w:cs="Ebrima"/>
          <w:sz w:val="20"/>
          <w:szCs w:val="20"/>
        </w:rPr>
        <w:t>) de l’opérateur historique ou d’opérateurs verticalement intégrés, y compris quand ils opèrent des RIP ;</w:t>
      </w:r>
    </w:p>
    <w:p w:rsidR="001E3A61" w:rsidRPr="003566ED" w:rsidRDefault="009B37DB" w:rsidP="003B3080">
      <w:pPr>
        <w:spacing w:after="120" w:line="276" w:lineRule="auto"/>
        <w:ind w:left="709"/>
        <w:rPr>
          <w:rFonts w:ascii="Ebrima" w:hAnsi="Ebrima"/>
          <w:sz w:val="20"/>
          <w:szCs w:val="20"/>
        </w:rPr>
      </w:pPr>
      <w:r w:rsidRPr="003566ED">
        <w:rPr>
          <w:rFonts w:ascii="Ebrima" w:eastAsia="Ebrima" w:hAnsi="Ebrima" w:cs="Ebrima"/>
          <w:sz w:val="20"/>
          <w:szCs w:val="20"/>
        </w:rPr>
        <w:t xml:space="preserve">3. pour satisfaire </w:t>
      </w:r>
      <w:r w:rsidRPr="003566ED">
        <w:rPr>
          <w:rFonts w:ascii="Ebrima" w:eastAsia="Ebrima" w:hAnsi="Ebrima" w:cs="Ebrima"/>
          <w:b/>
          <w:sz w:val="20"/>
          <w:szCs w:val="20"/>
        </w:rPr>
        <w:t>les besoins spécifiques</w:t>
      </w:r>
      <w:r w:rsidRPr="003566ED">
        <w:rPr>
          <w:rFonts w:ascii="Ebrima" w:eastAsia="Ebrima" w:hAnsi="Ebrima" w:cs="Ebrima"/>
          <w:sz w:val="20"/>
          <w:szCs w:val="20"/>
        </w:rPr>
        <w:t xml:space="preserve"> (</w:t>
      </w:r>
      <w:proofErr w:type="spellStart"/>
      <w:r w:rsidRPr="003566ED">
        <w:rPr>
          <w:rFonts w:ascii="Ebrima" w:eastAsia="Ebrima" w:hAnsi="Ebrima" w:cs="Ebrima"/>
          <w:sz w:val="20"/>
          <w:szCs w:val="20"/>
        </w:rPr>
        <w:t>FttE</w:t>
      </w:r>
      <w:proofErr w:type="spellEnd"/>
      <w:r w:rsidRPr="003566ED">
        <w:rPr>
          <w:rFonts w:ascii="Ebrima" w:eastAsia="Ebrima" w:hAnsi="Ebrima" w:cs="Ebrima"/>
          <w:sz w:val="20"/>
          <w:szCs w:val="20"/>
        </w:rPr>
        <w:t xml:space="preserve"> et/ou </w:t>
      </w:r>
      <w:proofErr w:type="spellStart"/>
      <w:r w:rsidRPr="003566ED">
        <w:rPr>
          <w:rFonts w:ascii="Ebrima" w:eastAsia="Ebrima" w:hAnsi="Ebrima" w:cs="Ebrima"/>
          <w:sz w:val="20"/>
          <w:szCs w:val="20"/>
        </w:rPr>
        <w:t>FttO</w:t>
      </w:r>
      <w:proofErr w:type="spellEnd"/>
      <w:r w:rsidRPr="003566ED">
        <w:rPr>
          <w:rFonts w:ascii="Ebrima" w:eastAsia="Ebrima" w:hAnsi="Ebrima" w:cs="Ebrima"/>
          <w:sz w:val="20"/>
          <w:szCs w:val="20"/>
        </w:rPr>
        <w:t xml:space="preserve">) des </w:t>
      </w:r>
      <w:r w:rsidRPr="003566ED">
        <w:rPr>
          <w:rFonts w:ascii="Ebrima" w:eastAsia="Ebrima" w:hAnsi="Ebrima" w:cs="Ebrima"/>
          <w:b/>
          <w:sz w:val="20"/>
          <w:szCs w:val="20"/>
        </w:rPr>
        <w:t>entreprises multi-sites</w:t>
      </w:r>
      <w:r w:rsidRPr="003566ED">
        <w:rPr>
          <w:rFonts w:ascii="Ebrima" w:eastAsia="Ebrima" w:hAnsi="Ebrima" w:cs="Ebrima"/>
          <w:sz w:val="20"/>
          <w:szCs w:val="20"/>
        </w:rPr>
        <w:t>, en achetant des fibres noires aux opérateurs exploitant la BLOM, les RIP y compris.</w:t>
      </w:r>
    </w:p>
    <w:tbl>
      <w:tblPr>
        <w:tblStyle w:val="a6"/>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3566ED" w:rsidRPr="003566ED" w:rsidTr="00D77EB1">
        <w:trPr>
          <w:trHeight w:val="880"/>
        </w:trPr>
        <w:tc>
          <w:tcPr>
            <w:tcW w:w="1418" w:type="dxa"/>
            <w:vAlign w:val="center"/>
          </w:tcPr>
          <w:p w:rsidR="001E3A61" w:rsidRPr="003566ED" w:rsidRDefault="009B37DB" w:rsidP="003566ED">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 xml:space="preserve">Question 8 </w:t>
            </w:r>
          </w:p>
        </w:tc>
        <w:tc>
          <w:tcPr>
            <w:tcW w:w="7706" w:type="dxa"/>
            <w:vAlign w:val="center"/>
          </w:tcPr>
          <w:p w:rsidR="001E3A61" w:rsidRPr="003566ED" w:rsidRDefault="009B37DB" w:rsidP="003566ED">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 xml:space="preserve">L’Autorité invite les contributeurs à exprimer leurs remarques sur la pertinence de ces préconisations au regard des objectifs poursuivis dans la présente analyse de marché. </w:t>
            </w:r>
          </w:p>
        </w:tc>
      </w:tr>
    </w:tbl>
    <w:p w:rsidR="001E3A61" w:rsidRPr="003566ED" w:rsidRDefault="009B37DB" w:rsidP="008C2478">
      <w:pPr>
        <w:spacing w:after="120" w:line="276" w:lineRule="auto"/>
        <w:rPr>
          <w:rFonts w:ascii="Ebrima" w:hAnsi="Ebrima"/>
          <w:sz w:val="20"/>
          <w:szCs w:val="20"/>
        </w:rPr>
      </w:pPr>
      <w:r w:rsidRPr="003566ED">
        <w:rPr>
          <w:rFonts w:ascii="Ebrima" w:eastAsia="Ebrima" w:hAnsi="Ebrima" w:cs="Ebrima"/>
          <w:sz w:val="20"/>
          <w:szCs w:val="20"/>
        </w:rPr>
        <w:t xml:space="preserve">La FNCCR a rappelé dans sa précédente contribution que la ville / les territoires intelligent(s) porteurs de projets IOT seront demandeurs des offres du marché entreprises pour connecter des concentrateurs de flux de mesures ou du mobilier connecté et que la recommandation </w:t>
      </w:r>
      <w:r w:rsidR="00C11B66">
        <w:rPr>
          <w:rFonts w:ascii="Ebrima" w:eastAsia="Ebrima" w:hAnsi="Ebrima" w:cs="Ebrima"/>
          <w:sz w:val="20"/>
          <w:szCs w:val="20"/>
        </w:rPr>
        <w:t>à intervenir de</w:t>
      </w:r>
      <w:r w:rsidRPr="003566ED">
        <w:rPr>
          <w:rFonts w:ascii="Ebrima" w:eastAsia="Ebrima" w:hAnsi="Ebrima" w:cs="Ebrima"/>
          <w:sz w:val="20"/>
          <w:szCs w:val="20"/>
        </w:rPr>
        <w:t xml:space="preserve"> l’Autorité devra faire ét</w:t>
      </w:r>
      <w:r w:rsidR="0066698B">
        <w:rPr>
          <w:rFonts w:ascii="Ebrima" w:eastAsia="Ebrima" w:hAnsi="Ebrima" w:cs="Ebrima"/>
          <w:sz w:val="20"/>
          <w:szCs w:val="20"/>
        </w:rPr>
        <w:t>at de ces besoins à court terme</w:t>
      </w:r>
      <w:r w:rsidR="00D85E97">
        <w:rPr>
          <w:rFonts w:ascii="Ebrima" w:eastAsia="Ebrima" w:hAnsi="Ebrima" w:cs="Ebrima"/>
          <w:sz w:val="20"/>
          <w:szCs w:val="20"/>
        </w:rPr>
        <w:t xml:space="preserve"> (offres spécifiques IOT).</w:t>
      </w:r>
    </w:p>
    <w:p w:rsidR="001E3A61" w:rsidRDefault="009B37DB">
      <w:r>
        <w:br w:type="page"/>
      </w:r>
    </w:p>
    <w:p w:rsidR="001E3A61" w:rsidRDefault="009B37DB">
      <w:pPr>
        <w:pStyle w:val="Titre2"/>
      </w:pPr>
      <w:r>
        <w:t>Partie 2 : Favoriser l’investissement efficace dans les infrastructures, les synergies et l’innovation</w:t>
      </w:r>
    </w:p>
    <w:tbl>
      <w:tblPr>
        <w:tblStyle w:val="a7"/>
        <w:tblW w:w="898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564"/>
      </w:tblGrid>
      <w:tr w:rsidR="003566ED" w:rsidRPr="003566ED" w:rsidTr="00D77EB1">
        <w:trPr>
          <w:trHeight w:val="1840"/>
        </w:trPr>
        <w:tc>
          <w:tcPr>
            <w:tcW w:w="1418" w:type="dxa"/>
            <w:vAlign w:val="center"/>
          </w:tcPr>
          <w:p w:rsidR="001E3A61" w:rsidRPr="003566ED" w:rsidRDefault="009B37DB" w:rsidP="00463B9B">
            <w:pPr>
              <w:spacing w:before="0" w:line="276" w:lineRule="auto"/>
              <w:rPr>
                <w:color w:val="808080" w:themeColor="background1" w:themeShade="80"/>
              </w:rPr>
            </w:pPr>
            <w:r w:rsidRPr="003566ED">
              <w:rPr>
                <w:rFonts w:ascii="Ebrima" w:eastAsia="Ebrima" w:hAnsi="Ebrima" w:cs="Ebrima"/>
                <w:b/>
                <w:color w:val="808080" w:themeColor="background1" w:themeShade="80"/>
                <w:sz w:val="20"/>
                <w:szCs w:val="20"/>
              </w:rPr>
              <w:t>Question 9 </w:t>
            </w:r>
          </w:p>
        </w:tc>
        <w:tc>
          <w:tcPr>
            <w:tcW w:w="7564" w:type="dxa"/>
            <w:vAlign w:val="center"/>
          </w:tcPr>
          <w:p w:rsidR="001E3A61" w:rsidRPr="003566ED" w:rsidRDefault="009B37DB" w:rsidP="00463B9B">
            <w:pPr>
              <w:spacing w:before="0" w:line="276" w:lineRule="auto"/>
              <w:rPr>
                <w:color w:val="808080" w:themeColor="background1" w:themeShade="80"/>
              </w:rPr>
            </w:pPr>
            <w:r w:rsidRPr="003566ED">
              <w:rPr>
                <w:rFonts w:ascii="Ebrima" w:eastAsia="Ebrima" w:hAnsi="Ebrima" w:cs="Ebrima"/>
                <w:b/>
                <w:color w:val="808080" w:themeColor="background1" w:themeShade="80"/>
                <w:sz w:val="20"/>
                <w:szCs w:val="20"/>
              </w:rPr>
              <w:t xml:space="preserve">Les acteurs sont invités à détailler leurs attentes concernant la prévisibilité des tarifs de l’accès aux infrastructures de génie civil, notamment en précisant l’horizon temporel qu’ils considèrent pertinent. Les opérateurs sont également invités à exprimer le degré de prévision qu’ils sont capables de fournir concernant leurs volumes de déploiement de câbles en fibre optique. Par ailleurs, les acteurs identifient-ils d’autres moyens de fournir de la prévisibilité sur les tarifs d’accès aux infrastructures de génie civil ? </w:t>
            </w:r>
          </w:p>
        </w:tc>
      </w:tr>
    </w:tbl>
    <w:p w:rsidR="001E3A61" w:rsidRDefault="009B37DB">
      <w:pPr>
        <w:pStyle w:val="Sous-titre"/>
      </w:pPr>
      <w:r>
        <w:rPr>
          <w:rFonts w:ascii="Ebrima" w:eastAsia="Ebrima" w:hAnsi="Ebrima" w:cs="Ebrima"/>
        </w:rPr>
        <w:t>Attractivité de l’offre GC BLO</w:t>
      </w:r>
    </w:p>
    <w:p w:rsidR="001E3A61" w:rsidRPr="003566ED" w:rsidRDefault="009B37DB">
      <w:pPr>
        <w:spacing w:line="276" w:lineRule="auto"/>
        <w:rPr>
          <w:rFonts w:ascii="Ebrima" w:hAnsi="Ebrima"/>
          <w:sz w:val="20"/>
          <w:szCs w:val="20"/>
        </w:rPr>
      </w:pPr>
      <w:r w:rsidRPr="003566ED">
        <w:rPr>
          <w:rFonts w:ascii="Ebrima" w:eastAsia="Ebrima" w:hAnsi="Ebrima" w:cs="Ebrima"/>
          <w:sz w:val="20"/>
          <w:szCs w:val="20"/>
        </w:rPr>
        <w:t xml:space="preserve">La FNCCR a dressé le constat d’un recours prioritaire, par ses adhérents – donc y compris les AODE –aux infrastructures d’accueil aériennes d’Orange au détriment des appuis aériens électriques, en raison de l’offre packagée que constitue GC-BLO, en premier lieu le point fort </w:t>
      </w:r>
      <w:r w:rsidR="003566ED" w:rsidRPr="003566ED">
        <w:rPr>
          <w:rFonts w:ascii="Ebrima" w:eastAsia="Ebrima" w:hAnsi="Ebrima" w:cs="Ebrima"/>
          <w:sz w:val="20"/>
          <w:szCs w:val="20"/>
        </w:rPr>
        <w:t>qu’est</w:t>
      </w:r>
      <w:r w:rsidRPr="003566ED">
        <w:rPr>
          <w:rFonts w:ascii="Ebrima" w:eastAsia="Ebrima" w:hAnsi="Ebrima" w:cs="Ebrima"/>
          <w:sz w:val="20"/>
          <w:szCs w:val="20"/>
        </w:rPr>
        <w:t xml:space="preserve"> sa structure tarifaire à la prise (par ZAPM) ainsi que les processus, certes lourds mais éprouvés mis en place par l’opérateur historique.</w:t>
      </w:r>
    </w:p>
    <w:p w:rsidR="001E3A61" w:rsidRPr="003566ED" w:rsidRDefault="009B37DB">
      <w:pPr>
        <w:spacing w:before="0" w:line="276" w:lineRule="auto"/>
        <w:rPr>
          <w:rFonts w:ascii="Ebrima" w:hAnsi="Ebrima"/>
          <w:sz w:val="20"/>
          <w:szCs w:val="20"/>
        </w:rPr>
      </w:pPr>
      <w:r w:rsidRPr="003566ED">
        <w:rPr>
          <w:rFonts w:ascii="Ebrima" w:eastAsia="Ebrima" w:hAnsi="Ebrima" w:cs="Ebrima"/>
          <w:sz w:val="20"/>
          <w:szCs w:val="20"/>
        </w:rPr>
        <w:t>La tarification à la prise est une demande de l'Autorité pour rétablir une péréquation.</w:t>
      </w:r>
    </w:p>
    <w:p w:rsidR="001E3A61" w:rsidRPr="003566ED" w:rsidRDefault="009B37DB">
      <w:pPr>
        <w:spacing w:before="0" w:line="276" w:lineRule="auto"/>
        <w:rPr>
          <w:rFonts w:ascii="Ebrima" w:hAnsi="Ebrima"/>
          <w:sz w:val="20"/>
          <w:szCs w:val="20"/>
        </w:rPr>
      </w:pPr>
      <w:r w:rsidRPr="003566ED">
        <w:rPr>
          <w:rFonts w:ascii="Ebrima" w:eastAsia="Ebrima" w:hAnsi="Ebrima" w:cs="Ebrima"/>
          <w:sz w:val="20"/>
          <w:szCs w:val="20"/>
        </w:rPr>
        <w:t>Constatant que pour les RIP en ZMD le ratio charges GC à la prise abonné est supérieur aux autres réseaux NGA, certains adhérents de la FNCCR souhaitent que GC-BLO se décline aussi selon une grille tarifaire au linéaire utilisé.</w:t>
      </w:r>
    </w:p>
    <w:p w:rsidR="001E3A61" w:rsidRPr="003566ED" w:rsidRDefault="009B37DB">
      <w:pPr>
        <w:spacing w:before="0" w:line="276" w:lineRule="auto"/>
        <w:rPr>
          <w:rFonts w:ascii="Ebrima" w:hAnsi="Ebrima"/>
          <w:sz w:val="20"/>
          <w:szCs w:val="20"/>
        </w:rPr>
      </w:pPr>
      <w:r w:rsidRPr="003566ED">
        <w:rPr>
          <w:rFonts w:ascii="Ebrima" w:eastAsia="Ebrima" w:hAnsi="Ebrima" w:cs="Ebrima"/>
          <w:sz w:val="20"/>
          <w:szCs w:val="20"/>
        </w:rPr>
        <w:t xml:space="preserve">La FNCCR considère que la tarification avantageuse joue mais que les conditions opérationnelles proposées par Orange (processus, outils, guichet unique, etc.) jouent tout autant alors que, s’agissant des supports aériens électriques, les processus opérationnels sont certes en progrès (formation, organisation au sein du distributeur électrique), mais pas encore suffisants à ce stade pour en faire la première infrastructure d’accueil aérienne du déploiement des réseaux NGA en ZMD. Par ailleurs, sans avoir attendu la promulgation de l’ordonnance n°2015-526 du 28 avril 2016 dite « ordonnance fourreaux », les collectivités territoriales examinent la faisabilité d’une gestion mutualisée de leur patrimoine d’infrastructures d’accueil (cf. question </w:t>
      </w:r>
      <w:r w:rsidR="002618BE">
        <w:rPr>
          <w:rFonts w:ascii="Ebrima" w:eastAsia="Ebrima" w:hAnsi="Ebrima" w:cs="Ebrima"/>
          <w:sz w:val="20"/>
          <w:szCs w:val="20"/>
        </w:rPr>
        <w:t>4</w:t>
      </w:r>
      <w:r w:rsidR="00E171BD">
        <w:rPr>
          <w:rFonts w:ascii="Ebrima" w:eastAsia="Ebrima" w:hAnsi="Ebrima" w:cs="Ebrima"/>
          <w:sz w:val="20"/>
          <w:szCs w:val="20"/>
        </w:rPr>
        <w:t xml:space="preserve"> </w:t>
      </w:r>
      <w:r w:rsidR="00E171BD" w:rsidRPr="00E171BD">
        <w:rPr>
          <w:rFonts w:ascii="Ebrima" w:eastAsia="Ebrima" w:hAnsi="Ebrima" w:cs="Ebrima"/>
          <w:i/>
          <w:sz w:val="20"/>
          <w:szCs w:val="20"/>
        </w:rPr>
        <w:t>supra</w:t>
      </w:r>
      <w:r w:rsidRPr="003566ED">
        <w:rPr>
          <w:rFonts w:ascii="Ebrima" w:eastAsia="Ebrima" w:hAnsi="Ebrima" w:cs="Ebrima"/>
          <w:sz w:val="20"/>
          <w:szCs w:val="20"/>
        </w:rPr>
        <w:t>).</w:t>
      </w:r>
    </w:p>
    <w:p w:rsidR="001E3A61" w:rsidRDefault="009B37DB">
      <w:pPr>
        <w:spacing w:line="276" w:lineRule="auto"/>
      </w:pPr>
      <w:r>
        <w:rPr>
          <w:rFonts w:ascii="Ebrima" w:eastAsia="Ebrima" w:hAnsi="Ebrima" w:cs="Ebrima"/>
          <w:sz w:val="20"/>
          <w:szCs w:val="20"/>
        </w:rPr>
        <w:t>La FNCCR recommande vivement à ses adhérents, notamment communes, villes et métropoles, de conserver dans leur patrimoine les réseaux de fourreaux dont elles disposent à la suite d’opérations d’enfouissement coordonné, de restitution de biens de retour (au terme d’une DSP) ou de construction en maîtrise d’ouvrage publique à l’occasion de l’aménagement de zones d’activités.</w:t>
      </w:r>
    </w:p>
    <w:p w:rsidR="001E3A61" w:rsidRPr="002618BE" w:rsidRDefault="009B37DB">
      <w:pPr>
        <w:spacing w:line="276" w:lineRule="auto"/>
      </w:pPr>
      <w:r w:rsidRPr="002618BE">
        <w:rPr>
          <w:rFonts w:ascii="Ebrima" w:eastAsia="Ebrima" w:hAnsi="Ebrima" w:cs="Ebrima"/>
          <w:sz w:val="20"/>
          <w:szCs w:val="20"/>
        </w:rPr>
        <w:t>La FNCCR rappelle que les infrastructures de GC télécom des ZAE sont quasiment toutes la propriété des collectivités territoriales.</w:t>
      </w:r>
    </w:p>
    <w:p w:rsidR="001E3A61" w:rsidRDefault="009B37DB">
      <w:pPr>
        <w:pStyle w:val="Sous-titre"/>
      </w:pPr>
      <w:r>
        <w:rPr>
          <w:rFonts w:ascii="Ebrima" w:eastAsia="Ebrima" w:hAnsi="Ebrima" w:cs="Ebrima"/>
        </w:rPr>
        <w:t>Modèle tarifaire</w:t>
      </w:r>
    </w:p>
    <w:p w:rsidR="001E3A61" w:rsidRDefault="009B37DB">
      <w:pPr>
        <w:spacing w:line="276" w:lineRule="auto"/>
      </w:pPr>
      <w:r>
        <w:rPr>
          <w:rFonts w:ascii="Ebrima" w:eastAsia="Ebrima" w:hAnsi="Ebrima" w:cs="Ebrima"/>
          <w:sz w:val="20"/>
          <w:szCs w:val="20"/>
        </w:rPr>
        <w:t>Les travaux de la FNCCR avec ses adhérents concluent que la construction en propre d’infrastructures d’accueil, à amortir sur 30 ou 40 ans, serait préférable à une location aux tarifs à venir incertains !</w:t>
      </w:r>
    </w:p>
    <w:p w:rsidR="00305B96" w:rsidRDefault="009B37DB">
      <w:pPr>
        <w:spacing w:line="276" w:lineRule="auto"/>
        <w:rPr>
          <w:rFonts w:ascii="Ebrima" w:eastAsia="Ebrima" w:hAnsi="Ebrima" w:cs="Ebrima"/>
          <w:sz w:val="20"/>
          <w:szCs w:val="20"/>
        </w:rPr>
      </w:pPr>
      <w:r w:rsidRPr="003566ED">
        <w:rPr>
          <w:rFonts w:ascii="Ebrima" w:eastAsia="Ebrima" w:hAnsi="Ebrima" w:cs="Ebrima"/>
          <w:sz w:val="20"/>
          <w:szCs w:val="20"/>
        </w:rPr>
        <w:t>L’Autorité a mis en place une prévisibilité triennale pour les tarifs de gros de la paire de cuivre. La FNCCR est favorable à l’application de ce principe, l’échéance triennale étant confortable mais peut-être pas le bon horizon s’agissant des infrastructures d’accueil.</w:t>
      </w:r>
    </w:p>
    <w:p w:rsidR="001E3A61" w:rsidRPr="003566ED" w:rsidRDefault="009B37DB">
      <w:pPr>
        <w:spacing w:line="276" w:lineRule="auto"/>
        <w:rPr>
          <w:rFonts w:ascii="Ebrima" w:hAnsi="Ebrima"/>
          <w:sz w:val="20"/>
          <w:szCs w:val="20"/>
        </w:rPr>
      </w:pPr>
      <w:r w:rsidRPr="003566ED">
        <w:rPr>
          <w:rFonts w:ascii="Ebrima" w:eastAsia="Ebrima" w:hAnsi="Ebrima" w:cs="Ebrima"/>
          <w:sz w:val="20"/>
          <w:szCs w:val="20"/>
        </w:rPr>
        <w:t>Le recours aux infrastructures d’accueil est pour la durée de vie du future réseau THD. Dans ces conditions, l’observatoire qu’envisage l’Autorité pour estimer à long terme les coûts moyens de génie civil est pertinent.</w:t>
      </w:r>
    </w:p>
    <w:p w:rsidR="001E3A61" w:rsidRPr="003566ED" w:rsidRDefault="009B37DB" w:rsidP="00DB1874">
      <w:pPr>
        <w:spacing w:after="120" w:line="276" w:lineRule="auto"/>
        <w:rPr>
          <w:rFonts w:ascii="Ebrima" w:hAnsi="Ebrima"/>
          <w:sz w:val="20"/>
          <w:szCs w:val="20"/>
        </w:rPr>
      </w:pPr>
      <w:r w:rsidRPr="003566ED">
        <w:rPr>
          <w:rFonts w:ascii="Ebrima" w:eastAsia="Ebrima" w:hAnsi="Ebrima" w:cs="Ebrima"/>
          <w:sz w:val="20"/>
          <w:szCs w:val="20"/>
        </w:rPr>
        <w:t xml:space="preserve">Par ailleurs, le recours à long terme des infrastructures d’accueil de l’opérateur historique impacte tout aussi durablement les OPEX (ou section d’exploitation) de l’opérateur d’infrastructure. La FNCCR souhaite que l’Autorité soutienne </w:t>
      </w:r>
      <w:r w:rsidRPr="003566ED">
        <w:rPr>
          <w:rFonts w:ascii="Ebrima" w:eastAsia="Ebrima" w:hAnsi="Ebrima" w:cs="Ebrima"/>
          <w:b/>
          <w:sz w:val="20"/>
          <w:szCs w:val="20"/>
        </w:rPr>
        <w:t>la comptabilisation en CAPEX</w:t>
      </w:r>
      <w:r w:rsidRPr="003566ED">
        <w:rPr>
          <w:rFonts w:ascii="Ebrima" w:eastAsia="Ebrima" w:hAnsi="Ebrima" w:cs="Ebrima"/>
          <w:sz w:val="20"/>
          <w:szCs w:val="20"/>
        </w:rPr>
        <w:t xml:space="preserve"> (section d’investissement) de ses dépenses réelles, en particulier sous la forme d’acquisition de droits d’usages irrévocables (IRU). </w:t>
      </w:r>
    </w:p>
    <w:tbl>
      <w:tblPr>
        <w:tblStyle w:val="a8"/>
        <w:tblW w:w="898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564"/>
      </w:tblGrid>
      <w:tr w:rsidR="003566ED" w:rsidRPr="003566ED" w:rsidTr="00D77EB1">
        <w:trPr>
          <w:trHeight w:val="840"/>
        </w:trPr>
        <w:tc>
          <w:tcPr>
            <w:tcW w:w="1418" w:type="dxa"/>
            <w:vAlign w:val="center"/>
          </w:tcPr>
          <w:p w:rsidR="001E3A61" w:rsidRPr="003566ED" w:rsidRDefault="009B37DB" w:rsidP="00463B9B">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Question 10</w:t>
            </w:r>
          </w:p>
        </w:tc>
        <w:tc>
          <w:tcPr>
            <w:tcW w:w="7564" w:type="dxa"/>
            <w:vAlign w:val="center"/>
          </w:tcPr>
          <w:p w:rsidR="001E3A61" w:rsidRPr="003566ED" w:rsidRDefault="009B37DB" w:rsidP="00463B9B">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 xml:space="preserve">Il semblerait nécessaire de fluidifier davantage les processus de désaturation compte tenu de l’utilisation croissante des appuis aériens pour le déploiement des boucles locales optiques. Les acteurs sont invités à définir les enjeux associés, identifier les contraintes actuelles et formuler leurs propositions pour améliorer les dispositifs de désaturation existants afin de permettre une industrialisation des déploiements sur les infrastructures de génie civil aériennes. </w:t>
            </w:r>
          </w:p>
        </w:tc>
      </w:tr>
    </w:tbl>
    <w:p w:rsidR="001E3A61" w:rsidRPr="003566ED" w:rsidRDefault="009B37DB" w:rsidP="00DB1874">
      <w:pPr>
        <w:spacing w:after="120" w:line="276" w:lineRule="auto"/>
        <w:rPr>
          <w:rFonts w:ascii="Ebrima" w:hAnsi="Ebrima"/>
          <w:sz w:val="20"/>
          <w:szCs w:val="20"/>
        </w:rPr>
      </w:pPr>
      <w:r w:rsidRPr="003566ED">
        <w:rPr>
          <w:rFonts w:ascii="Ebrima" w:eastAsia="Ebrima" w:hAnsi="Ebrima" w:cs="Ebrima"/>
          <w:sz w:val="20"/>
          <w:szCs w:val="20"/>
        </w:rPr>
        <w:t xml:space="preserve">Avant d’évoquer les processus de désaturation, il convient d’aborder au préalable la question du </w:t>
      </w:r>
      <w:r w:rsidRPr="002618BE">
        <w:rPr>
          <w:rFonts w:ascii="Ebrima" w:eastAsia="Ebrima" w:hAnsi="Ebrima" w:cs="Ebrima"/>
          <w:b/>
          <w:sz w:val="20"/>
          <w:szCs w:val="20"/>
        </w:rPr>
        <w:t>remplacement des poteaux vétustes ou abimés</w:t>
      </w:r>
      <w:r w:rsidRPr="003566ED">
        <w:rPr>
          <w:rFonts w:ascii="Ebrima" w:eastAsia="Ebrima" w:hAnsi="Ebrima" w:cs="Ebrima"/>
          <w:sz w:val="20"/>
          <w:szCs w:val="20"/>
        </w:rPr>
        <w:t xml:space="preserve">. Les adhérents de la FNCCR abonnés à GC-BLO se plaignent davantage des conditions (coûts, délais) </w:t>
      </w:r>
      <w:r w:rsidR="00695DD2" w:rsidRPr="003566ED">
        <w:rPr>
          <w:rFonts w:ascii="Ebrima" w:eastAsia="Ebrima" w:hAnsi="Ebrima" w:cs="Ebrima"/>
          <w:sz w:val="20"/>
          <w:szCs w:val="20"/>
        </w:rPr>
        <w:t>du maintien en conditions opérationnelles</w:t>
      </w:r>
      <w:r w:rsidRPr="003566ED">
        <w:rPr>
          <w:rFonts w:ascii="Ebrima" w:eastAsia="Ebrima" w:hAnsi="Ebrima" w:cs="Ebrima"/>
          <w:sz w:val="20"/>
          <w:szCs w:val="20"/>
        </w:rPr>
        <w:t xml:space="preserve"> de l’infrastructure d’accueil aérienne. Cela se traduit par des dépenses supplémentaires, au-delà du budget estimé à partir de la grille tarifaire de GC-BLO.</w:t>
      </w:r>
    </w:p>
    <w:tbl>
      <w:tblPr>
        <w:tblStyle w:val="a9"/>
        <w:tblW w:w="898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564"/>
      </w:tblGrid>
      <w:tr w:rsidR="003566ED" w:rsidRPr="003566ED" w:rsidTr="00D77EB1">
        <w:trPr>
          <w:trHeight w:val="940"/>
        </w:trPr>
        <w:tc>
          <w:tcPr>
            <w:tcW w:w="1418" w:type="dxa"/>
            <w:vAlign w:val="center"/>
          </w:tcPr>
          <w:p w:rsidR="001E3A61" w:rsidRPr="003566ED" w:rsidRDefault="009B37DB" w:rsidP="00463B9B">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Question 11</w:t>
            </w:r>
          </w:p>
        </w:tc>
        <w:tc>
          <w:tcPr>
            <w:tcW w:w="7564" w:type="dxa"/>
            <w:vAlign w:val="center"/>
          </w:tcPr>
          <w:p w:rsidR="001E3A61" w:rsidRPr="003566ED" w:rsidRDefault="009B37DB" w:rsidP="00463B9B">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 xml:space="preserve">L’Autorité invite les contributeurs à faire état de leurs réflexions prospectives sur la dépose du réseau cuivre afin de permettre de libérer de la ressource sur les infrastructures de génie civil aériennes. </w:t>
            </w:r>
          </w:p>
        </w:tc>
      </w:tr>
    </w:tbl>
    <w:p w:rsidR="001E3A61" w:rsidRPr="003566ED" w:rsidRDefault="009B37DB">
      <w:pPr>
        <w:spacing w:line="276" w:lineRule="auto"/>
        <w:rPr>
          <w:rFonts w:ascii="Ebrima" w:hAnsi="Ebrima"/>
          <w:sz w:val="20"/>
          <w:szCs w:val="20"/>
        </w:rPr>
      </w:pPr>
      <w:r w:rsidRPr="003566ED">
        <w:rPr>
          <w:rFonts w:ascii="Ebrima" w:eastAsia="Ebrima" w:hAnsi="Ebrima" w:cs="Ebrima"/>
          <w:sz w:val="20"/>
          <w:szCs w:val="20"/>
        </w:rPr>
        <w:t>La suggestion de l’Autorité quant à déposer les câbles de cuivre lors de la fermeture de NRA suppose que l’opération de désaturation se déroule en zone fibrée. C’est paradoxal car le besoin est immédiat. La dépose du cuivre des supports aériens induit donc une phase transitoire qui tolère la présence des deux infrastructures cuivre et fibre, malgré des risques de surcharge.</w:t>
      </w:r>
    </w:p>
    <w:p w:rsidR="001E3A61" w:rsidRPr="003566ED" w:rsidRDefault="0016105A">
      <w:pPr>
        <w:spacing w:line="276" w:lineRule="auto"/>
        <w:rPr>
          <w:rFonts w:ascii="Ebrima" w:hAnsi="Ebrima"/>
          <w:sz w:val="20"/>
          <w:szCs w:val="20"/>
        </w:rPr>
      </w:pPr>
      <w:r>
        <w:rPr>
          <w:rFonts w:ascii="Ebrima" w:eastAsia="Ebrima" w:hAnsi="Ebrima" w:cs="Ebrima"/>
          <w:sz w:val="20"/>
          <w:szCs w:val="20"/>
        </w:rPr>
        <w:t>Plus généralement, l</w:t>
      </w:r>
      <w:r w:rsidR="009B37DB" w:rsidRPr="003566ED">
        <w:rPr>
          <w:rFonts w:ascii="Ebrima" w:eastAsia="Ebrima" w:hAnsi="Ebrima" w:cs="Ebrima"/>
          <w:sz w:val="20"/>
          <w:szCs w:val="20"/>
        </w:rPr>
        <w:t xml:space="preserve">a dépose du cuivre </w:t>
      </w:r>
      <w:r>
        <w:rPr>
          <w:rFonts w:ascii="Ebrima" w:eastAsia="Ebrima" w:hAnsi="Ebrima" w:cs="Ebrima"/>
          <w:sz w:val="20"/>
          <w:szCs w:val="20"/>
        </w:rPr>
        <w:t>est le problème de l’opérateur historique, enlèvement dont il tirera des recettes significatives (</w:t>
      </w:r>
      <w:r w:rsidR="00134212">
        <w:rPr>
          <w:rFonts w:ascii="Ebrima" w:eastAsia="Ebrima" w:hAnsi="Ebrima" w:cs="Ebrima"/>
          <w:sz w:val="20"/>
          <w:szCs w:val="20"/>
        </w:rPr>
        <w:t xml:space="preserve">estimation de </w:t>
      </w:r>
      <w:r>
        <w:rPr>
          <w:rFonts w:ascii="Ebrima" w:eastAsia="Ebrima" w:hAnsi="Ebrima" w:cs="Ebrima"/>
          <w:sz w:val="20"/>
          <w:szCs w:val="20"/>
        </w:rPr>
        <w:t>9 Mds €).</w:t>
      </w:r>
    </w:p>
    <w:p w:rsidR="001E3A61" w:rsidRPr="003566ED" w:rsidRDefault="0016105A" w:rsidP="00DB1874">
      <w:pPr>
        <w:spacing w:after="120" w:line="276" w:lineRule="auto"/>
        <w:rPr>
          <w:rFonts w:ascii="Ebrima" w:hAnsi="Ebrima"/>
          <w:sz w:val="20"/>
          <w:szCs w:val="20"/>
        </w:rPr>
      </w:pPr>
      <w:r>
        <w:rPr>
          <w:rFonts w:ascii="Ebrima" w:eastAsia="Ebrima" w:hAnsi="Ebrima" w:cs="Ebrima"/>
          <w:sz w:val="20"/>
          <w:szCs w:val="20"/>
        </w:rPr>
        <w:t>Au passage, c</w:t>
      </w:r>
      <w:r w:rsidR="009B37DB" w:rsidRPr="003566ED">
        <w:rPr>
          <w:rFonts w:ascii="Ebrima" w:eastAsia="Ebrima" w:hAnsi="Ebrima" w:cs="Ebrima"/>
          <w:sz w:val="20"/>
          <w:szCs w:val="20"/>
        </w:rPr>
        <w:t xml:space="preserve">ette question de la dépose du </w:t>
      </w:r>
      <w:r>
        <w:rPr>
          <w:rFonts w:ascii="Ebrima" w:eastAsia="Ebrima" w:hAnsi="Ebrima" w:cs="Ebrima"/>
          <w:sz w:val="20"/>
          <w:szCs w:val="20"/>
        </w:rPr>
        <w:t xml:space="preserve">réseau </w:t>
      </w:r>
      <w:r w:rsidR="009B37DB" w:rsidRPr="003566ED">
        <w:rPr>
          <w:rFonts w:ascii="Ebrima" w:eastAsia="Ebrima" w:hAnsi="Ebrima" w:cs="Ebrima"/>
          <w:sz w:val="20"/>
          <w:szCs w:val="20"/>
        </w:rPr>
        <w:t xml:space="preserve">cuivre </w:t>
      </w:r>
      <w:r>
        <w:rPr>
          <w:rFonts w:ascii="Ebrima" w:eastAsia="Ebrima" w:hAnsi="Ebrima" w:cs="Ebrima"/>
          <w:sz w:val="20"/>
          <w:szCs w:val="20"/>
        </w:rPr>
        <w:t xml:space="preserve">télécom </w:t>
      </w:r>
      <w:r w:rsidR="009B37DB" w:rsidRPr="003566ED">
        <w:rPr>
          <w:rFonts w:ascii="Ebrima" w:eastAsia="Ebrima" w:hAnsi="Ebrima" w:cs="Ebrima"/>
          <w:sz w:val="20"/>
          <w:szCs w:val="20"/>
        </w:rPr>
        <w:t>concerne aussi les supports électriques aériens.</w:t>
      </w:r>
    </w:p>
    <w:tbl>
      <w:tblPr>
        <w:tblStyle w:val="aa"/>
        <w:tblW w:w="898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564"/>
      </w:tblGrid>
      <w:tr w:rsidR="003566ED" w:rsidRPr="003566ED" w:rsidTr="00D77EB1">
        <w:trPr>
          <w:trHeight w:val="860"/>
        </w:trPr>
        <w:tc>
          <w:tcPr>
            <w:tcW w:w="1418" w:type="dxa"/>
            <w:vAlign w:val="center"/>
          </w:tcPr>
          <w:p w:rsidR="001E3A61" w:rsidRPr="003566ED" w:rsidRDefault="009B37DB" w:rsidP="00463B9B">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Question 12</w:t>
            </w:r>
          </w:p>
        </w:tc>
        <w:tc>
          <w:tcPr>
            <w:tcW w:w="7564" w:type="dxa"/>
            <w:vAlign w:val="center"/>
          </w:tcPr>
          <w:p w:rsidR="001E3A61" w:rsidRPr="003566ED" w:rsidRDefault="009B37DB" w:rsidP="00463B9B">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 xml:space="preserve">L’Autorité invite les acteurs à commenter son analyse quant au besoin identifié et aux mesures proposées afin de faciliter le passage des réseaux en fibre optique entre différentes infrastructures de génie civil. </w:t>
            </w:r>
          </w:p>
        </w:tc>
      </w:tr>
    </w:tbl>
    <w:p w:rsidR="001E3A61" w:rsidRDefault="00EF3403">
      <w:pPr>
        <w:spacing w:line="276" w:lineRule="auto"/>
        <w:rPr>
          <w:rFonts w:ascii="Ebrima" w:eastAsia="Ebrima" w:hAnsi="Ebrima" w:cs="Ebrima"/>
          <w:sz w:val="20"/>
          <w:szCs w:val="20"/>
        </w:rPr>
      </w:pPr>
      <w:r>
        <w:rPr>
          <w:rFonts w:ascii="Ebrima" w:eastAsia="Ebrima" w:hAnsi="Ebrima" w:cs="Ebrima"/>
          <w:sz w:val="20"/>
          <w:szCs w:val="20"/>
        </w:rPr>
        <w:t xml:space="preserve">La FNCCR souligne que les retours d’expérience de ses adhérents </w:t>
      </w:r>
      <w:r w:rsidR="00257BE2">
        <w:rPr>
          <w:rFonts w:ascii="Ebrima" w:eastAsia="Ebrima" w:hAnsi="Ebrima" w:cs="Ebrima"/>
          <w:sz w:val="20"/>
          <w:szCs w:val="20"/>
        </w:rPr>
        <w:t xml:space="preserve">déployant des RIP </w:t>
      </w:r>
      <w:r>
        <w:rPr>
          <w:rFonts w:ascii="Ebrima" w:eastAsia="Ebrima" w:hAnsi="Ebrima" w:cs="Ebrima"/>
          <w:sz w:val="20"/>
          <w:szCs w:val="20"/>
        </w:rPr>
        <w:t xml:space="preserve">plaident </w:t>
      </w:r>
      <w:r w:rsidRPr="00257BE2">
        <w:rPr>
          <w:rFonts w:ascii="Ebrima" w:eastAsia="Ebrima" w:hAnsi="Ebrima" w:cs="Ebrima"/>
          <w:b/>
          <w:sz w:val="20"/>
          <w:szCs w:val="20"/>
        </w:rPr>
        <w:t xml:space="preserve">pour une harmonisation technique plus poussée </w:t>
      </w:r>
      <w:r>
        <w:rPr>
          <w:rFonts w:ascii="Ebrima" w:eastAsia="Ebrima" w:hAnsi="Ebrima" w:cs="Ebrima"/>
          <w:sz w:val="20"/>
          <w:szCs w:val="20"/>
        </w:rPr>
        <w:t>des offres d’accès aux infrastructures d’accueil aériennes électriques et télécom</w:t>
      </w:r>
      <w:r w:rsidR="00257BE2">
        <w:rPr>
          <w:rFonts w:ascii="Ebrima" w:eastAsia="Ebrima" w:hAnsi="Ebrima" w:cs="Ebrima"/>
          <w:sz w:val="20"/>
          <w:szCs w:val="20"/>
        </w:rPr>
        <w:t>s</w:t>
      </w:r>
      <w:r>
        <w:rPr>
          <w:rFonts w:ascii="Ebrima" w:eastAsia="Ebrima" w:hAnsi="Ebrima" w:cs="Ebrima"/>
          <w:sz w:val="20"/>
          <w:szCs w:val="20"/>
        </w:rPr>
        <w:t>. Plusieurs exemples sont cités</w:t>
      </w:r>
      <w:r w:rsidR="00225E66">
        <w:rPr>
          <w:rFonts w:ascii="Ebrima" w:eastAsia="Ebrima" w:hAnsi="Ebrima" w:cs="Ebrima"/>
          <w:sz w:val="20"/>
          <w:szCs w:val="20"/>
        </w:rPr>
        <w:t xml:space="preserve"> et font l’objet, à force de pression, d’examens</w:t>
      </w:r>
      <w:r w:rsidR="00257BE2">
        <w:rPr>
          <w:rFonts w:ascii="Ebrima" w:eastAsia="Ebrima" w:hAnsi="Ebrima" w:cs="Ebrima"/>
          <w:sz w:val="20"/>
          <w:szCs w:val="20"/>
        </w:rPr>
        <w:t xml:space="preserve"> plus attentifs</w:t>
      </w:r>
      <w:r w:rsidR="00225E66">
        <w:rPr>
          <w:rFonts w:ascii="Ebrima" w:eastAsia="Ebrima" w:hAnsi="Ebrima" w:cs="Ebrima"/>
          <w:sz w:val="20"/>
          <w:szCs w:val="20"/>
        </w:rPr>
        <w:t xml:space="preserve">. Il s’agit notamment </w:t>
      </w:r>
      <w:r>
        <w:rPr>
          <w:rFonts w:ascii="Ebrima" w:eastAsia="Ebrima" w:hAnsi="Ebrima" w:cs="Ebrima"/>
          <w:sz w:val="20"/>
          <w:szCs w:val="20"/>
        </w:rPr>
        <w:t>:</w:t>
      </w:r>
    </w:p>
    <w:p w:rsidR="00EF3403" w:rsidRDefault="00225E66" w:rsidP="00E171BD">
      <w:pPr>
        <w:pStyle w:val="Paragraphedeliste"/>
        <w:numPr>
          <w:ilvl w:val="0"/>
          <w:numId w:val="6"/>
        </w:numPr>
        <w:spacing w:after="120" w:line="276" w:lineRule="auto"/>
        <w:rPr>
          <w:rFonts w:ascii="Ebrima" w:eastAsia="Ebrima" w:hAnsi="Ebrima" w:cs="Ebrima"/>
          <w:sz w:val="20"/>
          <w:szCs w:val="20"/>
        </w:rPr>
      </w:pPr>
      <w:r>
        <w:rPr>
          <w:rFonts w:ascii="Ebrima" w:eastAsia="Ebrima" w:hAnsi="Ebrima" w:cs="Ebrima"/>
          <w:sz w:val="20"/>
          <w:szCs w:val="20"/>
        </w:rPr>
        <w:t>d</w:t>
      </w:r>
      <w:r w:rsidR="00EF3403">
        <w:rPr>
          <w:rFonts w:ascii="Ebrima" w:eastAsia="Ebrima" w:hAnsi="Ebrima" w:cs="Ebrima"/>
          <w:sz w:val="20"/>
          <w:szCs w:val="20"/>
        </w:rPr>
        <w:t xml:space="preserve">es croix de </w:t>
      </w:r>
      <w:proofErr w:type="spellStart"/>
      <w:r w:rsidR="00EF3403">
        <w:rPr>
          <w:rFonts w:ascii="Ebrima" w:eastAsia="Ebrima" w:hAnsi="Ebrima" w:cs="Ebrima"/>
          <w:sz w:val="20"/>
          <w:szCs w:val="20"/>
        </w:rPr>
        <w:t>lovage</w:t>
      </w:r>
      <w:proofErr w:type="spellEnd"/>
      <w:r w:rsidR="00257BE2">
        <w:rPr>
          <w:rFonts w:ascii="Ebrima" w:eastAsia="Ebrima" w:hAnsi="Ebrima" w:cs="Ebrima"/>
          <w:sz w:val="20"/>
          <w:szCs w:val="20"/>
        </w:rPr>
        <w:t>, peu pratiquées sur les réseaux télécoms, interdites sur les réseaux électriques sauf à titre dérogatoire sur de longues distances et en zone de givre ; en attente d’un examen et d’une décision par le comité des experts </w:t>
      </w:r>
      <w:r w:rsidR="00E171BD">
        <w:rPr>
          <w:rFonts w:ascii="Ebrima" w:eastAsia="Ebrima" w:hAnsi="Ebrima" w:cs="Ebrima"/>
          <w:sz w:val="20"/>
          <w:szCs w:val="20"/>
        </w:rPr>
        <w:t>quant à une plus large utilisation</w:t>
      </w:r>
      <w:r w:rsidR="00257BE2">
        <w:rPr>
          <w:rFonts w:ascii="Ebrima" w:eastAsia="Ebrima" w:hAnsi="Ebrima" w:cs="Ebrima"/>
          <w:sz w:val="20"/>
          <w:szCs w:val="20"/>
        </w:rPr>
        <w:t>;</w:t>
      </w:r>
    </w:p>
    <w:p w:rsidR="00257BE2" w:rsidRPr="00225E66" w:rsidRDefault="00257BE2" w:rsidP="00E171BD">
      <w:pPr>
        <w:pStyle w:val="Paragraphedeliste"/>
        <w:numPr>
          <w:ilvl w:val="0"/>
          <w:numId w:val="6"/>
        </w:numPr>
        <w:spacing w:after="120" w:line="276" w:lineRule="auto"/>
        <w:rPr>
          <w:rFonts w:asciiTheme="minorHAnsi" w:eastAsia="Malgun Gothic" w:hAnsiTheme="minorHAnsi" w:cs="Times New Roman"/>
          <w:color w:val="auto"/>
          <w:szCs w:val="20"/>
          <w:lang w:bidi="ne-IN"/>
        </w:rPr>
      </w:pPr>
      <w:r>
        <w:rPr>
          <w:rFonts w:ascii="Ebrima" w:eastAsia="Ebrima" w:hAnsi="Ebrima" w:cs="Ebrima"/>
          <w:sz w:val="20"/>
          <w:szCs w:val="20"/>
        </w:rPr>
        <w:t>d</w:t>
      </w:r>
      <w:r w:rsidRPr="00225E66">
        <w:rPr>
          <w:rFonts w:ascii="Ebrima" w:eastAsia="Ebrima" w:hAnsi="Ebrima" w:cs="Ebrima"/>
          <w:sz w:val="20"/>
          <w:szCs w:val="20"/>
        </w:rPr>
        <w:t>es partages de traverses sur poteaux électrique</w:t>
      </w:r>
      <w:r>
        <w:rPr>
          <w:rFonts w:ascii="Ebrima" w:eastAsia="Ebrima" w:hAnsi="Ebrima" w:cs="Ebrima"/>
          <w:sz w:val="20"/>
          <w:szCs w:val="20"/>
        </w:rPr>
        <w:t>s</w:t>
      </w:r>
      <w:r w:rsidRPr="00225E66">
        <w:rPr>
          <w:rFonts w:ascii="Ebrima" w:eastAsia="Ebrima" w:hAnsi="Ebrima" w:cs="Ebrima"/>
          <w:sz w:val="20"/>
          <w:szCs w:val="20"/>
        </w:rPr>
        <w:t xml:space="preserve">. Dans ses échanges récents avec Orange, la FNCCR s’est vu assurée </w:t>
      </w:r>
      <w:r w:rsidRPr="00225E66">
        <w:rPr>
          <w:rFonts w:asciiTheme="minorHAnsi" w:eastAsia="Malgun Gothic" w:hAnsiTheme="minorHAnsi" w:cs="Times New Roman"/>
          <w:color w:val="auto"/>
          <w:szCs w:val="20"/>
          <w:lang w:bidi="ne-IN"/>
        </w:rPr>
        <w:t>d</w:t>
      </w:r>
      <w:r>
        <w:rPr>
          <w:rFonts w:asciiTheme="minorHAnsi" w:eastAsia="Malgun Gothic" w:hAnsiTheme="minorHAnsi" w:cs="Times New Roman"/>
          <w:color w:val="auto"/>
          <w:szCs w:val="20"/>
          <w:lang w:bidi="ne-IN"/>
        </w:rPr>
        <w:t>u</w:t>
      </w:r>
      <w:r w:rsidRPr="00225E66">
        <w:rPr>
          <w:rFonts w:asciiTheme="minorHAnsi" w:eastAsia="Malgun Gothic" w:hAnsiTheme="minorHAnsi" w:cs="Times New Roman"/>
          <w:color w:val="auto"/>
          <w:szCs w:val="20"/>
          <w:lang w:bidi="ne-IN"/>
        </w:rPr>
        <w:t xml:space="preserve"> partage de la traverse d'Orange par un autre opérateur qui aurait contractualisé au préalable une convention « appuis communs » en vigueur.</w:t>
      </w:r>
    </w:p>
    <w:p w:rsidR="00257BE2" w:rsidRPr="00257BE2" w:rsidRDefault="00225E66" w:rsidP="00E171BD">
      <w:pPr>
        <w:pStyle w:val="Paragraphedeliste"/>
        <w:numPr>
          <w:ilvl w:val="0"/>
          <w:numId w:val="6"/>
        </w:numPr>
        <w:spacing w:after="120" w:line="276" w:lineRule="auto"/>
        <w:rPr>
          <w:rFonts w:ascii="Ebrima" w:eastAsiaTheme="minorEastAsia" w:hAnsi="Ebrima" w:cs="Times New Roman"/>
          <w:color w:val="auto"/>
          <w:sz w:val="20"/>
          <w:szCs w:val="20"/>
          <w:lang w:eastAsia="en-US"/>
        </w:rPr>
      </w:pPr>
      <w:r>
        <w:rPr>
          <w:rFonts w:ascii="Ebrima" w:eastAsia="Ebrima" w:hAnsi="Ebrima" w:cs="Ebrima"/>
          <w:sz w:val="20"/>
          <w:szCs w:val="20"/>
        </w:rPr>
        <w:t>d</w:t>
      </w:r>
      <w:r w:rsidR="00EF3403" w:rsidRPr="00225E66">
        <w:rPr>
          <w:rFonts w:ascii="Ebrima" w:eastAsia="Ebrima" w:hAnsi="Ebrima" w:cs="Ebrima"/>
          <w:sz w:val="20"/>
          <w:szCs w:val="20"/>
        </w:rPr>
        <w:t xml:space="preserve">es adductions </w:t>
      </w:r>
      <w:proofErr w:type="spellStart"/>
      <w:r w:rsidR="00EF3403" w:rsidRPr="00225E66">
        <w:rPr>
          <w:rFonts w:ascii="Ebrima" w:eastAsia="Ebrima" w:hAnsi="Ebrima" w:cs="Ebrima"/>
          <w:sz w:val="20"/>
          <w:szCs w:val="20"/>
        </w:rPr>
        <w:t>aéro</w:t>
      </w:r>
      <w:proofErr w:type="spellEnd"/>
      <w:r w:rsidR="00EF3403" w:rsidRPr="00225E66">
        <w:rPr>
          <w:rFonts w:ascii="Ebrima" w:eastAsia="Ebrima" w:hAnsi="Ebrima" w:cs="Ebrima"/>
          <w:sz w:val="20"/>
          <w:szCs w:val="20"/>
        </w:rPr>
        <w:t xml:space="preserve">-souterraines, </w:t>
      </w:r>
      <w:r w:rsidR="00EF3403" w:rsidRPr="00225E66">
        <w:rPr>
          <w:rFonts w:ascii="Ebrima" w:eastAsiaTheme="minorEastAsia" w:hAnsi="Ebrima" w:cs="Times New Roman"/>
          <w:color w:val="auto"/>
          <w:sz w:val="20"/>
          <w:szCs w:val="20"/>
          <w:lang w:eastAsia="en-US"/>
        </w:rPr>
        <w:t xml:space="preserve">point bloquant pour les opérateurs et constructeurs de réseaux qui souhaitent effectuer une remontée </w:t>
      </w:r>
      <w:proofErr w:type="spellStart"/>
      <w:r w:rsidR="00EF3403" w:rsidRPr="00225E66">
        <w:rPr>
          <w:rFonts w:ascii="Ebrima" w:eastAsiaTheme="minorEastAsia" w:hAnsi="Ebrima" w:cs="Times New Roman"/>
          <w:color w:val="auto"/>
          <w:sz w:val="20"/>
          <w:szCs w:val="20"/>
          <w:lang w:eastAsia="en-US"/>
        </w:rPr>
        <w:t>aéro</w:t>
      </w:r>
      <w:proofErr w:type="spellEnd"/>
      <w:r w:rsidR="00EF3403" w:rsidRPr="00225E66">
        <w:rPr>
          <w:rFonts w:ascii="Ebrima" w:eastAsiaTheme="minorEastAsia" w:hAnsi="Ebrima" w:cs="Times New Roman"/>
          <w:color w:val="auto"/>
          <w:sz w:val="20"/>
          <w:szCs w:val="20"/>
          <w:lang w:eastAsia="en-US"/>
        </w:rPr>
        <w:t xml:space="preserve">-souterraine sur poteaux Orange depuis un génie civil tiers. En effet, dans l’état actuel de l’offre, l’opérateur est dans l’obligation d’utiliser les infrastructures sous-terraines et </w:t>
      </w:r>
      <w:proofErr w:type="spellStart"/>
      <w:r w:rsidR="00EF3403" w:rsidRPr="00225E66">
        <w:rPr>
          <w:rFonts w:ascii="Ebrima" w:eastAsiaTheme="minorEastAsia" w:hAnsi="Ebrima" w:cs="Times New Roman"/>
          <w:color w:val="auto"/>
          <w:sz w:val="20"/>
          <w:szCs w:val="20"/>
          <w:lang w:eastAsia="en-US"/>
        </w:rPr>
        <w:t>aéro</w:t>
      </w:r>
      <w:proofErr w:type="spellEnd"/>
      <w:r w:rsidR="00EF3403" w:rsidRPr="00225E66">
        <w:rPr>
          <w:rFonts w:ascii="Ebrima" w:eastAsiaTheme="minorEastAsia" w:hAnsi="Ebrima" w:cs="Times New Roman"/>
          <w:color w:val="auto"/>
          <w:sz w:val="20"/>
          <w:szCs w:val="20"/>
          <w:lang w:eastAsia="en-US"/>
        </w:rPr>
        <w:t xml:space="preserve">-souterraines d’Orange. </w:t>
      </w:r>
      <w:r w:rsidR="00257BE2">
        <w:rPr>
          <w:rFonts w:ascii="Ebrima" w:eastAsiaTheme="minorEastAsia" w:hAnsi="Ebrima" w:cs="Times New Roman"/>
          <w:color w:val="auto"/>
          <w:sz w:val="20"/>
          <w:szCs w:val="20"/>
          <w:lang w:eastAsia="en-US"/>
        </w:rPr>
        <w:t xml:space="preserve">La FNCCR rappelle que les adductions </w:t>
      </w:r>
      <w:proofErr w:type="spellStart"/>
      <w:r w:rsidR="00257BE2">
        <w:rPr>
          <w:rFonts w:ascii="Ebrima" w:eastAsiaTheme="minorEastAsia" w:hAnsi="Ebrima" w:cs="Times New Roman"/>
          <w:color w:val="auto"/>
          <w:sz w:val="20"/>
          <w:szCs w:val="20"/>
          <w:lang w:eastAsia="en-US"/>
        </w:rPr>
        <w:t>aéro</w:t>
      </w:r>
      <w:proofErr w:type="spellEnd"/>
      <w:r w:rsidR="00257BE2">
        <w:rPr>
          <w:rFonts w:ascii="Ebrima" w:eastAsiaTheme="minorEastAsia" w:hAnsi="Ebrima" w:cs="Times New Roman"/>
          <w:color w:val="auto"/>
          <w:sz w:val="20"/>
          <w:szCs w:val="20"/>
          <w:lang w:eastAsia="en-US"/>
        </w:rPr>
        <w:t>-souterraines sont autorisées sur les supports aériens électriques.</w:t>
      </w:r>
    </w:p>
    <w:tbl>
      <w:tblPr>
        <w:tblStyle w:val="ab"/>
        <w:tblW w:w="898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564"/>
      </w:tblGrid>
      <w:tr w:rsidR="003566ED" w:rsidRPr="003566ED" w:rsidTr="00D77EB1">
        <w:trPr>
          <w:trHeight w:val="1380"/>
        </w:trPr>
        <w:tc>
          <w:tcPr>
            <w:tcW w:w="1418" w:type="dxa"/>
            <w:vAlign w:val="center"/>
          </w:tcPr>
          <w:p w:rsidR="001E3A61" w:rsidRPr="003566ED" w:rsidRDefault="009B37DB" w:rsidP="00463B9B">
            <w:pPr>
              <w:spacing w:before="0" w:line="276" w:lineRule="auto"/>
              <w:rPr>
                <w:color w:val="808080" w:themeColor="background1" w:themeShade="80"/>
              </w:rPr>
            </w:pPr>
            <w:r w:rsidRPr="003566ED">
              <w:rPr>
                <w:rFonts w:ascii="Ebrima" w:eastAsia="Ebrima" w:hAnsi="Ebrima" w:cs="Ebrima"/>
                <w:b/>
                <w:color w:val="808080" w:themeColor="background1" w:themeShade="80"/>
                <w:sz w:val="20"/>
                <w:szCs w:val="20"/>
              </w:rPr>
              <w:t>Question 13</w:t>
            </w:r>
          </w:p>
        </w:tc>
        <w:tc>
          <w:tcPr>
            <w:tcW w:w="7564" w:type="dxa"/>
            <w:vAlign w:val="center"/>
          </w:tcPr>
          <w:p w:rsidR="001E3A61" w:rsidRPr="003566ED" w:rsidRDefault="009B37DB" w:rsidP="00463B9B">
            <w:pPr>
              <w:spacing w:before="0" w:line="276" w:lineRule="auto"/>
              <w:rPr>
                <w:color w:val="808080" w:themeColor="background1" w:themeShade="80"/>
              </w:rPr>
            </w:pPr>
            <w:r w:rsidRPr="003566ED">
              <w:rPr>
                <w:rFonts w:ascii="Ebrima" w:eastAsia="Ebrima" w:hAnsi="Ebrima" w:cs="Ebrima"/>
                <w:b/>
                <w:color w:val="808080" w:themeColor="background1" w:themeShade="80"/>
                <w:sz w:val="20"/>
                <w:szCs w:val="20"/>
              </w:rPr>
              <w:t xml:space="preserve">Les acteurs sont invités, d’une part, à se prononcer sur la pertinence d’imposer à Orange une obligation générale de maintenance de ses infrastructures souterraines et aériennes afin de garantir l’effectivité et la qualité de l’accès, d’autre part, à partager avec l’Autorité leurs premières réflexions sur les règles qui pourraient être définies pour encadrer la mise en œuvre de ce principe. </w:t>
            </w:r>
          </w:p>
        </w:tc>
      </w:tr>
    </w:tbl>
    <w:p w:rsidR="00E17B16" w:rsidRDefault="00E17B16">
      <w:pPr>
        <w:spacing w:line="276" w:lineRule="auto"/>
        <w:rPr>
          <w:rFonts w:ascii="Ebrima" w:eastAsia="Ebrima" w:hAnsi="Ebrima" w:cs="Ebrima"/>
          <w:sz w:val="20"/>
          <w:szCs w:val="20"/>
        </w:rPr>
      </w:pPr>
      <w:r>
        <w:rPr>
          <w:rFonts w:ascii="Ebrima" w:eastAsia="Ebrima" w:hAnsi="Ebrima" w:cs="Ebrima"/>
          <w:sz w:val="20"/>
          <w:szCs w:val="20"/>
        </w:rPr>
        <w:t xml:space="preserve">La FNCCR s’étonne tout d’abord qu’il faille rappeler cette obligation générale </w:t>
      </w:r>
      <w:r w:rsidR="00C77D98">
        <w:rPr>
          <w:rFonts w:ascii="Ebrima" w:eastAsia="Ebrima" w:hAnsi="Ebrima" w:cs="Ebrima"/>
          <w:sz w:val="20"/>
          <w:szCs w:val="20"/>
        </w:rPr>
        <w:t xml:space="preserve">de maintenance (maintien en conditions opérationnelles) </w:t>
      </w:r>
      <w:r>
        <w:rPr>
          <w:rFonts w:ascii="Ebrima" w:eastAsia="Ebrima" w:hAnsi="Ebrima" w:cs="Ebrima"/>
          <w:sz w:val="20"/>
          <w:szCs w:val="20"/>
        </w:rPr>
        <w:t>de ses propres infrastructures à Orange, grand opérateur télécom international.</w:t>
      </w:r>
    </w:p>
    <w:p w:rsidR="001E3A61" w:rsidRPr="003566ED" w:rsidRDefault="009B37DB">
      <w:pPr>
        <w:spacing w:line="276" w:lineRule="auto"/>
        <w:rPr>
          <w:rFonts w:ascii="Ebrima" w:hAnsi="Ebrima"/>
          <w:sz w:val="20"/>
          <w:szCs w:val="20"/>
        </w:rPr>
      </w:pPr>
      <w:r w:rsidRPr="003566ED">
        <w:rPr>
          <w:rFonts w:ascii="Ebrima" w:eastAsia="Ebrima" w:hAnsi="Ebrima" w:cs="Ebrima"/>
          <w:sz w:val="20"/>
          <w:szCs w:val="20"/>
        </w:rPr>
        <w:t xml:space="preserve">La FNCCR considère </w:t>
      </w:r>
      <w:r w:rsidRPr="007357EB">
        <w:rPr>
          <w:rFonts w:ascii="Ebrima" w:eastAsia="Ebrima" w:hAnsi="Ebrima" w:cs="Ebrima"/>
          <w:b/>
          <w:sz w:val="20"/>
          <w:szCs w:val="20"/>
        </w:rPr>
        <w:t xml:space="preserve">qu’une obligation générale de maintenance doit </w:t>
      </w:r>
      <w:r w:rsidR="002977F9">
        <w:rPr>
          <w:rFonts w:ascii="Ebrima" w:eastAsia="Ebrima" w:hAnsi="Ebrima" w:cs="Ebrima"/>
          <w:b/>
          <w:sz w:val="20"/>
          <w:szCs w:val="20"/>
        </w:rPr>
        <w:t xml:space="preserve">effectivement </w:t>
      </w:r>
      <w:r w:rsidRPr="007357EB">
        <w:rPr>
          <w:rFonts w:ascii="Ebrima" w:eastAsia="Ebrima" w:hAnsi="Ebrima" w:cs="Ebrima"/>
          <w:b/>
          <w:sz w:val="20"/>
          <w:szCs w:val="20"/>
        </w:rPr>
        <w:t>incomber à Orange</w:t>
      </w:r>
      <w:r w:rsidRPr="003566ED">
        <w:rPr>
          <w:rFonts w:ascii="Ebrima" w:eastAsia="Ebrima" w:hAnsi="Ebrima" w:cs="Ebrima"/>
          <w:sz w:val="20"/>
          <w:szCs w:val="20"/>
        </w:rPr>
        <w:t xml:space="preserve"> sur ses infrastructures d’accueil souterraines et aériennes, au risque d’impacter l’OI qui, pour respecter ses propres </w:t>
      </w:r>
      <w:proofErr w:type="spellStart"/>
      <w:r w:rsidRPr="003566ED">
        <w:rPr>
          <w:rFonts w:ascii="Ebrima" w:eastAsia="Ebrima" w:hAnsi="Ebrima" w:cs="Ebrima"/>
          <w:sz w:val="20"/>
          <w:szCs w:val="20"/>
        </w:rPr>
        <w:t>SLAs</w:t>
      </w:r>
      <w:proofErr w:type="spellEnd"/>
      <w:r w:rsidRPr="003566ED">
        <w:rPr>
          <w:rFonts w:ascii="Ebrima" w:eastAsia="Ebrima" w:hAnsi="Ebrima" w:cs="Ebrima"/>
          <w:sz w:val="20"/>
          <w:szCs w:val="20"/>
        </w:rPr>
        <w:t xml:space="preserve"> auprès de ses clients (à commencer par les situations d’urgence), sera contraint à intervenir (a priori sans mandat) et à procéder à des réparations éventuellement temporaires sur des infrastructures qui ne lui appartiennent pas. Dans l’illégalité donc.</w:t>
      </w:r>
    </w:p>
    <w:p w:rsidR="001E3A61" w:rsidRPr="003566ED" w:rsidRDefault="009B37DB">
      <w:pPr>
        <w:spacing w:line="276" w:lineRule="auto"/>
        <w:rPr>
          <w:rFonts w:ascii="Ebrima" w:hAnsi="Ebrima"/>
          <w:sz w:val="20"/>
          <w:szCs w:val="20"/>
        </w:rPr>
      </w:pPr>
      <w:r w:rsidRPr="003566ED">
        <w:rPr>
          <w:rFonts w:ascii="Ebrima" w:eastAsia="Ebrima" w:hAnsi="Ebrima" w:cs="Ebrima"/>
          <w:sz w:val="20"/>
          <w:szCs w:val="20"/>
        </w:rPr>
        <w:t>La FNCCR fait le lien avec l’article 39 de la loi pour une République numérique, qui devrait être promulguée dans quelques semaines, article disposant de la nécessité de procéder à des opérations d’entretien aux abords des réseaux et donc des infrastructures d’accueil pour des réseaux télécoms ouverts au public.</w:t>
      </w:r>
    </w:p>
    <w:p w:rsidR="001E3A61" w:rsidRPr="003566ED" w:rsidRDefault="009B37DB" w:rsidP="00DB1874">
      <w:pPr>
        <w:spacing w:after="120" w:line="276" w:lineRule="auto"/>
        <w:rPr>
          <w:rFonts w:ascii="Ebrima" w:hAnsi="Ebrima"/>
          <w:sz w:val="20"/>
          <w:szCs w:val="20"/>
        </w:rPr>
      </w:pPr>
      <w:r w:rsidRPr="003566ED">
        <w:rPr>
          <w:rFonts w:ascii="Ebrima" w:eastAsia="Ebrima" w:hAnsi="Ebrima" w:cs="Ebrima"/>
          <w:sz w:val="20"/>
          <w:szCs w:val="20"/>
        </w:rPr>
        <w:t xml:space="preserve">À terme, au-delà probablement de la période 2017-2020, cette obligation de maintenance et d’entretien des infrastructures d’accueil </w:t>
      </w:r>
      <w:r w:rsidR="003566ED" w:rsidRPr="003566ED">
        <w:rPr>
          <w:rFonts w:ascii="Ebrima" w:eastAsia="Ebrima" w:hAnsi="Ebrima" w:cs="Ebrima"/>
          <w:sz w:val="20"/>
          <w:szCs w:val="20"/>
        </w:rPr>
        <w:t>devra continuer d’incomber à</w:t>
      </w:r>
      <w:r w:rsidRPr="003566ED">
        <w:rPr>
          <w:rFonts w:ascii="Ebrima" w:eastAsia="Ebrima" w:hAnsi="Ebrima" w:cs="Ebrima"/>
          <w:sz w:val="20"/>
          <w:szCs w:val="20"/>
        </w:rPr>
        <w:t xml:space="preserve"> Orange</w:t>
      </w:r>
      <w:r w:rsidR="003566ED" w:rsidRPr="003566ED">
        <w:rPr>
          <w:rFonts w:ascii="Ebrima" w:eastAsia="Ebrima" w:hAnsi="Ebrima" w:cs="Ebrima"/>
          <w:sz w:val="20"/>
          <w:szCs w:val="20"/>
        </w:rPr>
        <w:t>, même</w:t>
      </w:r>
      <w:r w:rsidRPr="003566ED">
        <w:rPr>
          <w:rFonts w:ascii="Ebrima" w:eastAsia="Ebrima" w:hAnsi="Ebrima" w:cs="Ebrima"/>
          <w:sz w:val="20"/>
          <w:szCs w:val="20"/>
        </w:rPr>
        <w:t xml:space="preserve"> là où ce dernier n’e</w:t>
      </w:r>
      <w:r w:rsidR="007357EB">
        <w:rPr>
          <w:rFonts w:ascii="Ebrima" w:eastAsia="Ebrima" w:hAnsi="Ebrima" w:cs="Ebrima"/>
          <w:sz w:val="20"/>
          <w:szCs w:val="20"/>
        </w:rPr>
        <w:t>st pas l’exploitant de la BLOM ni le titulaire du service universel de communications électroniques.</w:t>
      </w:r>
    </w:p>
    <w:tbl>
      <w:tblPr>
        <w:tblStyle w:val="ac"/>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3566ED" w:rsidRPr="003566ED" w:rsidTr="007357EB">
        <w:trPr>
          <w:trHeight w:val="720"/>
        </w:trPr>
        <w:tc>
          <w:tcPr>
            <w:tcW w:w="1418" w:type="dxa"/>
            <w:vAlign w:val="center"/>
          </w:tcPr>
          <w:p w:rsidR="001E3A61" w:rsidRPr="003566ED" w:rsidRDefault="009B37DB" w:rsidP="00463B9B">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Question 14</w:t>
            </w:r>
          </w:p>
        </w:tc>
        <w:tc>
          <w:tcPr>
            <w:tcW w:w="7706" w:type="dxa"/>
            <w:vAlign w:val="center"/>
          </w:tcPr>
          <w:p w:rsidR="001E3A61" w:rsidRPr="003566ED" w:rsidRDefault="009B37DB" w:rsidP="00463B9B">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Les acteurs sont invités à commenter les évolutions de l’offre envisagées par l’ARCEP concernant l’accès aux chambres sécurisées.</w:t>
            </w:r>
          </w:p>
        </w:tc>
      </w:tr>
    </w:tbl>
    <w:p w:rsidR="001E3A61" w:rsidRPr="003566ED" w:rsidRDefault="009B37DB" w:rsidP="00DB1874">
      <w:pPr>
        <w:spacing w:after="120" w:line="276" w:lineRule="auto"/>
        <w:rPr>
          <w:rFonts w:ascii="Ebrima" w:hAnsi="Ebrima"/>
          <w:sz w:val="20"/>
          <w:szCs w:val="20"/>
        </w:rPr>
      </w:pPr>
      <w:r w:rsidRPr="003566ED">
        <w:rPr>
          <w:rFonts w:ascii="Ebrima" w:eastAsia="Ebrima" w:hAnsi="Ebrima" w:cs="Ebrima"/>
          <w:sz w:val="20"/>
          <w:szCs w:val="20"/>
        </w:rPr>
        <w:t xml:space="preserve">La FNCCR </w:t>
      </w:r>
      <w:r w:rsidR="007357EB">
        <w:rPr>
          <w:rFonts w:ascii="Ebrima" w:eastAsia="Ebrima" w:hAnsi="Ebrima" w:cs="Ebrima"/>
          <w:sz w:val="20"/>
          <w:szCs w:val="20"/>
        </w:rPr>
        <w:t xml:space="preserve">prend acte de cette contrainte opérationnelle. Elle </w:t>
      </w:r>
      <w:r w:rsidRPr="003566ED">
        <w:rPr>
          <w:rFonts w:ascii="Ebrima" w:eastAsia="Ebrima" w:hAnsi="Ebrima" w:cs="Ebrima"/>
          <w:sz w:val="20"/>
          <w:szCs w:val="20"/>
        </w:rPr>
        <w:t>n</w:t>
      </w:r>
      <w:r w:rsidR="007357EB">
        <w:rPr>
          <w:rFonts w:ascii="Ebrima" w:eastAsia="Ebrima" w:hAnsi="Ebrima" w:cs="Ebrima"/>
          <w:sz w:val="20"/>
          <w:szCs w:val="20"/>
        </w:rPr>
        <w:t>e l</w:t>
      </w:r>
      <w:r w:rsidRPr="003566ED">
        <w:rPr>
          <w:rFonts w:ascii="Ebrima" w:eastAsia="Ebrima" w:hAnsi="Ebrima" w:cs="Ebrima"/>
          <w:sz w:val="20"/>
          <w:szCs w:val="20"/>
        </w:rPr>
        <w:t>’a pas identifié</w:t>
      </w:r>
      <w:r w:rsidR="002618BE">
        <w:rPr>
          <w:rFonts w:ascii="Ebrima" w:eastAsia="Ebrima" w:hAnsi="Ebrima" w:cs="Ebrima"/>
          <w:sz w:val="20"/>
          <w:szCs w:val="20"/>
        </w:rPr>
        <w:t>e</w:t>
      </w:r>
      <w:r w:rsidRPr="003566ED">
        <w:rPr>
          <w:rFonts w:ascii="Ebrima" w:eastAsia="Ebrima" w:hAnsi="Ebrima" w:cs="Ebrima"/>
          <w:sz w:val="20"/>
          <w:szCs w:val="20"/>
        </w:rPr>
        <w:t xml:space="preserve"> comme prioritaire n’ayant reçu aucune alerte de la part de ses adhérents.</w:t>
      </w:r>
    </w:p>
    <w:tbl>
      <w:tblPr>
        <w:tblStyle w:val="ad"/>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3566ED" w:rsidRPr="003566ED" w:rsidTr="007357EB">
        <w:trPr>
          <w:trHeight w:val="660"/>
        </w:trPr>
        <w:tc>
          <w:tcPr>
            <w:tcW w:w="1418" w:type="dxa"/>
            <w:vAlign w:val="center"/>
          </w:tcPr>
          <w:p w:rsidR="001E3A61" w:rsidRPr="003566ED" w:rsidRDefault="009B37DB" w:rsidP="00D77EB1">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Question 15</w:t>
            </w:r>
          </w:p>
        </w:tc>
        <w:tc>
          <w:tcPr>
            <w:tcW w:w="7706" w:type="dxa"/>
            <w:vAlign w:val="center"/>
          </w:tcPr>
          <w:p w:rsidR="001E3A61" w:rsidRPr="003566ED" w:rsidRDefault="009B37DB" w:rsidP="00D77EB1">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Les acteurs sont par ailleurs invités à se prononcer sur le caractère adéquat du processus d’accompagnement actuellement proposé par Orange.</w:t>
            </w:r>
          </w:p>
        </w:tc>
      </w:tr>
    </w:tbl>
    <w:p w:rsidR="001E3A61" w:rsidRPr="003566ED" w:rsidRDefault="009B37DB" w:rsidP="00DB1874">
      <w:pPr>
        <w:spacing w:after="120" w:line="276" w:lineRule="auto"/>
        <w:rPr>
          <w:rFonts w:ascii="Ebrima" w:hAnsi="Ebrima"/>
          <w:sz w:val="20"/>
          <w:szCs w:val="20"/>
        </w:rPr>
      </w:pPr>
      <w:r w:rsidRPr="003566ED">
        <w:rPr>
          <w:rFonts w:ascii="Ebrima" w:eastAsia="Ebrima" w:hAnsi="Ebrima" w:cs="Ebrima"/>
          <w:sz w:val="20"/>
          <w:szCs w:val="20"/>
        </w:rPr>
        <w:t>La FNCCR n’a pas de remarque particulière à formuler.</w:t>
      </w:r>
    </w:p>
    <w:tbl>
      <w:tblPr>
        <w:tblStyle w:val="ae"/>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3566ED" w:rsidRPr="003566ED" w:rsidTr="007357EB">
        <w:trPr>
          <w:trHeight w:val="1220"/>
        </w:trPr>
        <w:tc>
          <w:tcPr>
            <w:tcW w:w="1418" w:type="dxa"/>
            <w:vAlign w:val="center"/>
          </w:tcPr>
          <w:p w:rsidR="001E3A61" w:rsidRPr="003566ED" w:rsidRDefault="009B37DB" w:rsidP="00D77EB1">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Question 16</w:t>
            </w:r>
          </w:p>
        </w:tc>
        <w:tc>
          <w:tcPr>
            <w:tcW w:w="7706" w:type="dxa"/>
            <w:vAlign w:val="center"/>
          </w:tcPr>
          <w:p w:rsidR="001E3A61" w:rsidRPr="003566ED" w:rsidRDefault="009B37DB" w:rsidP="00D77EB1">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 xml:space="preserve">L’ARCEP invite les contributeurs à se prononcer sur la pertinence de mettre en place une base cartographique regroupant l’ensemble des informations relatives aux infrastructures de génie civil sous forme de données numériques vectorielles géolocalisées intégrables dans un SIG. </w:t>
            </w:r>
          </w:p>
        </w:tc>
      </w:tr>
    </w:tbl>
    <w:p w:rsidR="001E3A61" w:rsidRDefault="009B37DB" w:rsidP="008C2478">
      <w:pPr>
        <w:spacing w:after="120" w:line="276" w:lineRule="auto"/>
        <w:rPr>
          <w:rFonts w:ascii="Ebrima" w:eastAsia="Ebrima" w:hAnsi="Ebrima" w:cs="Ebrima"/>
          <w:sz w:val="20"/>
          <w:szCs w:val="20"/>
        </w:rPr>
      </w:pPr>
      <w:r w:rsidRPr="003566ED">
        <w:rPr>
          <w:rFonts w:ascii="Ebrima" w:eastAsia="Ebrima" w:hAnsi="Ebrima" w:cs="Ebrima"/>
          <w:sz w:val="20"/>
          <w:szCs w:val="20"/>
        </w:rPr>
        <w:t xml:space="preserve">La FNCCR </w:t>
      </w:r>
      <w:r w:rsidR="00695DD2" w:rsidRPr="003566ED">
        <w:rPr>
          <w:rFonts w:ascii="Ebrima" w:eastAsia="Ebrima" w:hAnsi="Ebrima" w:cs="Ebrima"/>
          <w:sz w:val="20"/>
          <w:szCs w:val="20"/>
        </w:rPr>
        <w:t>est très favorable à la rationalisation décrite par l’Autorité de constituer une base unique des données vectorielles géolocalisées décrivant l’infrastructure d’accueil GC-BLO.</w:t>
      </w:r>
    </w:p>
    <w:p w:rsidR="0068547E" w:rsidRPr="003566ED" w:rsidRDefault="0068547E" w:rsidP="008C2478">
      <w:pPr>
        <w:spacing w:after="120" w:line="276" w:lineRule="auto"/>
        <w:rPr>
          <w:rFonts w:ascii="Ebrima" w:hAnsi="Ebrima"/>
          <w:sz w:val="20"/>
          <w:szCs w:val="20"/>
        </w:rPr>
      </w:pPr>
      <w:r>
        <w:rPr>
          <w:rFonts w:ascii="Ebrima" w:eastAsia="Ebrima" w:hAnsi="Ebrima" w:cs="Ebrima"/>
          <w:sz w:val="20"/>
          <w:szCs w:val="20"/>
        </w:rPr>
        <w:t xml:space="preserve">La FNCCR rappelle au passage qu’elle considère </w:t>
      </w:r>
      <w:r w:rsidR="00C62EE6">
        <w:rPr>
          <w:rFonts w:ascii="Ebrima" w:eastAsia="Ebrima" w:hAnsi="Ebrima" w:cs="Ebrima"/>
          <w:sz w:val="20"/>
          <w:szCs w:val="20"/>
        </w:rPr>
        <w:t>qu’il ne saurait s’agir ici que d</w:t>
      </w:r>
      <w:r>
        <w:rPr>
          <w:rFonts w:ascii="Ebrima" w:eastAsia="Ebrima" w:hAnsi="Ebrima" w:cs="Ebrima"/>
          <w:sz w:val="20"/>
          <w:szCs w:val="20"/>
        </w:rPr>
        <w:t>es infrastructures d’accueil, des fourreaux</w:t>
      </w:r>
      <w:r w:rsidR="00C62EE6">
        <w:rPr>
          <w:rFonts w:ascii="Ebrima" w:eastAsia="Ebrima" w:hAnsi="Ebrima" w:cs="Ebrima"/>
          <w:sz w:val="20"/>
          <w:szCs w:val="20"/>
        </w:rPr>
        <w:t xml:space="preserve"> pour l’essentiel</w:t>
      </w:r>
      <w:r>
        <w:rPr>
          <w:rFonts w:ascii="Ebrima" w:eastAsia="Ebrima" w:hAnsi="Ebrima" w:cs="Ebrima"/>
          <w:sz w:val="20"/>
          <w:szCs w:val="20"/>
        </w:rPr>
        <w:t xml:space="preserve">, dont l’opérateur historique peut faire la preuve de sa </w:t>
      </w:r>
      <w:r w:rsidR="00C62EE6">
        <w:rPr>
          <w:rFonts w:ascii="Ebrima" w:eastAsia="Ebrima" w:hAnsi="Ebrima" w:cs="Ebrima"/>
          <w:sz w:val="20"/>
          <w:szCs w:val="20"/>
        </w:rPr>
        <w:t>propriété</w:t>
      </w:r>
      <w:r>
        <w:rPr>
          <w:rFonts w:ascii="Ebrima" w:eastAsia="Ebrima" w:hAnsi="Ebrima" w:cs="Ebrima"/>
          <w:sz w:val="20"/>
          <w:szCs w:val="20"/>
        </w:rPr>
        <w:t>.</w:t>
      </w:r>
    </w:p>
    <w:tbl>
      <w:tblPr>
        <w:tblStyle w:val="af"/>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3566ED" w:rsidRPr="003566ED" w:rsidTr="007357EB">
        <w:trPr>
          <w:trHeight w:val="820"/>
        </w:trPr>
        <w:tc>
          <w:tcPr>
            <w:tcW w:w="1418" w:type="dxa"/>
            <w:vAlign w:val="center"/>
          </w:tcPr>
          <w:p w:rsidR="001E3A61" w:rsidRPr="003566ED" w:rsidRDefault="009B37DB" w:rsidP="00D77EB1">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Question 17</w:t>
            </w:r>
          </w:p>
        </w:tc>
        <w:tc>
          <w:tcPr>
            <w:tcW w:w="7706" w:type="dxa"/>
            <w:vAlign w:val="center"/>
          </w:tcPr>
          <w:p w:rsidR="001E3A61" w:rsidRPr="003566ED" w:rsidRDefault="009B37DB" w:rsidP="00D77EB1">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 xml:space="preserve">Les acteurs sont invités à alimenter la réflexion quant à la mise à disposition d’un outil cartographique en ligne afin d’assurer aux opérateurs une meilleur </w:t>
            </w:r>
            <w:r w:rsidR="00463B9B">
              <w:rPr>
                <w:rFonts w:ascii="Ebrima" w:eastAsia="Ebrima" w:hAnsi="Ebrima" w:cs="Ebrima"/>
                <w:b/>
                <w:color w:val="808080" w:themeColor="background1" w:themeShade="80"/>
                <w:sz w:val="20"/>
                <w:szCs w:val="20"/>
              </w:rPr>
              <w:t>li</w:t>
            </w:r>
            <w:r w:rsidRPr="003566ED">
              <w:rPr>
                <w:rFonts w:ascii="Ebrima" w:eastAsia="Ebrima" w:hAnsi="Ebrima" w:cs="Ebrima"/>
                <w:b/>
                <w:color w:val="808080" w:themeColor="background1" w:themeShade="80"/>
                <w:sz w:val="20"/>
                <w:szCs w:val="20"/>
              </w:rPr>
              <w:t xml:space="preserve">sibilité aux informations préalables. </w:t>
            </w:r>
          </w:p>
        </w:tc>
      </w:tr>
    </w:tbl>
    <w:p w:rsidR="001E3A61" w:rsidRPr="003566ED" w:rsidRDefault="00695DD2" w:rsidP="008C2478">
      <w:pPr>
        <w:spacing w:after="120" w:line="276" w:lineRule="auto"/>
        <w:rPr>
          <w:rFonts w:ascii="Ebrima" w:hAnsi="Ebrima"/>
          <w:sz w:val="20"/>
          <w:szCs w:val="20"/>
        </w:rPr>
      </w:pPr>
      <w:r w:rsidRPr="003566ED">
        <w:rPr>
          <w:rFonts w:ascii="Ebrima" w:eastAsia="Ebrima" w:hAnsi="Ebrima" w:cs="Ebrima"/>
          <w:sz w:val="20"/>
          <w:szCs w:val="20"/>
        </w:rPr>
        <w:t>La FNCCR est très favorable à la mise en ligne des informations préalables, géolocalisées ou non, par souci d’efficacité. La FNCCR considère cette démarche comme complémentaire au projet d’évolution du guichet unique de l’INERIS en application de l’article 50 du CPCE issu de l’ordonnance °2</w:t>
      </w:r>
      <w:r w:rsidR="00601FD6">
        <w:rPr>
          <w:rFonts w:ascii="Ebrima" w:eastAsia="Ebrima" w:hAnsi="Ebrima" w:cs="Ebrima"/>
          <w:sz w:val="20"/>
          <w:szCs w:val="20"/>
        </w:rPr>
        <w:t>0</w:t>
      </w:r>
      <w:r w:rsidRPr="003566ED">
        <w:rPr>
          <w:rFonts w:ascii="Ebrima" w:eastAsia="Ebrima" w:hAnsi="Ebrima" w:cs="Ebrima"/>
          <w:sz w:val="20"/>
          <w:szCs w:val="20"/>
        </w:rPr>
        <w:t>16-526 du 28 avril 2016, qui devra encore plus qu’aujourd’hui être alimenté par les exploitants de réseaux</w:t>
      </w:r>
      <w:r w:rsidR="002618BE">
        <w:rPr>
          <w:rFonts w:ascii="Ebrima" w:eastAsia="Ebrima" w:hAnsi="Ebrima" w:cs="Ebrima"/>
          <w:sz w:val="20"/>
          <w:szCs w:val="20"/>
        </w:rPr>
        <w:t xml:space="preserve"> télécoms</w:t>
      </w:r>
      <w:r w:rsidRPr="003566ED">
        <w:rPr>
          <w:rFonts w:ascii="Ebrima" w:eastAsia="Ebrima" w:hAnsi="Ebrima" w:cs="Ebrima"/>
          <w:sz w:val="20"/>
          <w:szCs w:val="20"/>
        </w:rPr>
        <w:t>.</w:t>
      </w:r>
    </w:p>
    <w:tbl>
      <w:tblPr>
        <w:tblStyle w:val="af0"/>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3566ED" w:rsidRPr="003566ED" w:rsidTr="007357EB">
        <w:trPr>
          <w:trHeight w:val="1100"/>
        </w:trPr>
        <w:tc>
          <w:tcPr>
            <w:tcW w:w="1418" w:type="dxa"/>
            <w:vAlign w:val="center"/>
          </w:tcPr>
          <w:p w:rsidR="001E3A61" w:rsidRPr="003566ED" w:rsidRDefault="009B37DB" w:rsidP="00D77EB1">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Question 18</w:t>
            </w:r>
          </w:p>
        </w:tc>
        <w:tc>
          <w:tcPr>
            <w:tcW w:w="7706" w:type="dxa"/>
            <w:vAlign w:val="center"/>
          </w:tcPr>
          <w:p w:rsidR="001E3A61" w:rsidRPr="003566ED" w:rsidRDefault="009B37DB" w:rsidP="00D77EB1">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 xml:space="preserve">Les acteurs sont invités à s’exprimer sur le caractère adéquat des engagements de niveau de service et des indicateurs de qualité de service actuellement proposés par Orange, ainsi que sur la pertinence des nouveaux engagements envisagés par l’ARCEP. </w:t>
            </w:r>
          </w:p>
        </w:tc>
      </w:tr>
    </w:tbl>
    <w:p w:rsidR="001E3A61" w:rsidRPr="003566ED" w:rsidRDefault="00E363BF" w:rsidP="00463B9B">
      <w:pPr>
        <w:spacing w:after="120" w:line="276" w:lineRule="auto"/>
        <w:rPr>
          <w:rFonts w:ascii="Ebrima" w:hAnsi="Ebrima"/>
          <w:sz w:val="20"/>
          <w:szCs w:val="20"/>
        </w:rPr>
      </w:pPr>
      <w:r w:rsidRPr="003566ED">
        <w:rPr>
          <w:rFonts w:ascii="Ebrima" w:eastAsia="Ebrima" w:hAnsi="Ebrima" w:cs="Ebrima"/>
          <w:sz w:val="20"/>
          <w:szCs w:val="20"/>
        </w:rPr>
        <w:t>La FNCCR soutient la démarche de l’Autorité.</w:t>
      </w:r>
    </w:p>
    <w:tbl>
      <w:tblPr>
        <w:tblStyle w:val="af1"/>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3566ED" w:rsidRPr="003566ED" w:rsidTr="006C1BC1">
        <w:trPr>
          <w:trHeight w:val="840"/>
        </w:trPr>
        <w:tc>
          <w:tcPr>
            <w:tcW w:w="1418" w:type="dxa"/>
            <w:vAlign w:val="center"/>
          </w:tcPr>
          <w:p w:rsidR="001E3A61" w:rsidRPr="003566ED" w:rsidRDefault="009B37DB" w:rsidP="00D77EB1">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Question 19</w:t>
            </w:r>
          </w:p>
        </w:tc>
        <w:tc>
          <w:tcPr>
            <w:tcW w:w="7706" w:type="dxa"/>
            <w:vAlign w:val="center"/>
          </w:tcPr>
          <w:p w:rsidR="001E3A61" w:rsidRPr="003566ED" w:rsidRDefault="009B37DB" w:rsidP="00D77EB1">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 xml:space="preserve">Les acteurs sont invités à se prononcer sur le caractère suffisamment dissuasif des pénalités proposées par Orange dans l’offre GC BLO, ainsi que sur le caractère adéquat des processus de paiement et de facturation y afférant. </w:t>
            </w:r>
          </w:p>
        </w:tc>
      </w:tr>
    </w:tbl>
    <w:p w:rsidR="001E3A61" w:rsidRPr="003566ED" w:rsidRDefault="00965A9E" w:rsidP="00463B9B">
      <w:pPr>
        <w:spacing w:after="120" w:line="276" w:lineRule="auto"/>
        <w:rPr>
          <w:rFonts w:ascii="Ebrima" w:eastAsia="Ebrima" w:hAnsi="Ebrima" w:cs="Ebrima"/>
          <w:sz w:val="20"/>
          <w:szCs w:val="20"/>
        </w:rPr>
      </w:pPr>
      <w:r w:rsidRPr="003566ED">
        <w:rPr>
          <w:rFonts w:ascii="Ebrima" w:eastAsia="Ebrima" w:hAnsi="Ebrima" w:cs="Ebrima"/>
          <w:sz w:val="20"/>
          <w:szCs w:val="20"/>
        </w:rPr>
        <w:t xml:space="preserve">La FNCCR considère que le montant </w:t>
      </w:r>
      <w:r w:rsidR="006C1BC1">
        <w:rPr>
          <w:rFonts w:ascii="Ebrima" w:eastAsia="Ebrima" w:hAnsi="Ebrima" w:cs="Ebrima"/>
          <w:sz w:val="20"/>
          <w:szCs w:val="20"/>
        </w:rPr>
        <w:t>doit être</w:t>
      </w:r>
      <w:r w:rsidRPr="003566ED">
        <w:rPr>
          <w:rFonts w:ascii="Ebrima" w:eastAsia="Ebrima" w:hAnsi="Ebrima" w:cs="Ebrima"/>
          <w:sz w:val="20"/>
          <w:szCs w:val="20"/>
        </w:rPr>
        <w:t xml:space="preserve"> dissuasif mais c’est surtout l’application effective des pénalités qui jouent. La décision de l’Autorité doit </w:t>
      </w:r>
      <w:r w:rsidR="003B3080">
        <w:rPr>
          <w:rFonts w:ascii="Ebrima" w:eastAsia="Ebrima" w:hAnsi="Ebrima" w:cs="Ebrima"/>
          <w:sz w:val="20"/>
          <w:szCs w:val="20"/>
        </w:rPr>
        <w:t>im</w:t>
      </w:r>
      <w:r w:rsidRPr="003566ED">
        <w:rPr>
          <w:rFonts w:ascii="Ebrima" w:eastAsia="Ebrima" w:hAnsi="Ebrima" w:cs="Ebrima"/>
          <w:sz w:val="20"/>
          <w:szCs w:val="20"/>
        </w:rPr>
        <w:t>poser un délai de paiement des pénalités, n’excédant pas 3 mois par exemple.</w:t>
      </w:r>
    </w:p>
    <w:tbl>
      <w:tblPr>
        <w:tblStyle w:val="af2"/>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3566ED" w:rsidRPr="003566ED" w:rsidTr="006C1BC1">
        <w:trPr>
          <w:trHeight w:val="960"/>
        </w:trPr>
        <w:tc>
          <w:tcPr>
            <w:tcW w:w="1418" w:type="dxa"/>
            <w:vAlign w:val="center"/>
          </w:tcPr>
          <w:p w:rsidR="001E3A61" w:rsidRPr="003566ED" w:rsidRDefault="009B37DB" w:rsidP="00D77EB1">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Question 20</w:t>
            </w:r>
          </w:p>
        </w:tc>
        <w:tc>
          <w:tcPr>
            <w:tcW w:w="7706" w:type="dxa"/>
            <w:vAlign w:val="center"/>
          </w:tcPr>
          <w:p w:rsidR="001E3A61" w:rsidRPr="003566ED" w:rsidRDefault="009B37DB" w:rsidP="00D77EB1">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 xml:space="preserve">Les acteurs sont invités à se prononcer sur la proposition de l’ARCEP de décorréler la segmentation de l’offre GC BLO des usages en privilégiant une approche par logique de déploiement. </w:t>
            </w:r>
          </w:p>
        </w:tc>
      </w:tr>
    </w:tbl>
    <w:p w:rsidR="001E3A61" w:rsidRDefault="00A128A2" w:rsidP="007367CD">
      <w:pPr>
        <w:spacing w:after="120" w:line="276" w:lineRule="auto"/>
        <w:rPr>
          <w:rFonts w:ascii="Ebrima" w:eastAsia="Ebrima" w:hAnsi="Ebrima" w:cs="Ebrima"/>
          <w:sz w:val="20"/>
          <w:szCs w:val="20"/>
        </w:rPr>
      </w:pPr>
      <w:r w:rsidRPr="003566ED">
        <w:rPr>
          <w:rFonts w:ascii="Ebrima" w:eastAsia="Ebrima" w:hAnsi="Ebrima" w:cs="Ebrima"/>
          <w:sz w:val="20"/>
          <w:szCs w:val="20"/>
        </w:rPr>
        <w:t xml:space="preserve">La FNCCR approuve la réflexion de l’Autorité quant à repenser la segmentation de l’offre GC-BLO. Sa proposition est positive. Mais la FNCCR considère </w:t>
      </w:r>
      <w:r w:rsidR="00690034" w:rsidRPr="003566ED">
        <w:rPr>
          <w:rFonts w:ascii="Ebrima" w:eastAsia="Ebrima" w:hAnsi="Ebrima" w:cs="Ebrima"/>
          <w:sz w:val="20"/>
          <w:szCs w:val="20"/>
        </w:rPr>
        <w:t xml:space="preserve">qu’il faut aller plus loin puisque les opérateurs d’infrastructure desservent « sans distinction » tout un territoire, tous types de locaux, résidentiels et professionnels, </w:t>
      </w:r>
      <w:r w:rsidR="006B73C5" w:rsidRPr="003566ED">
        <w:rPr>
          <w:rFonts w:ascii="Ebrima" w:eastAsia="Ebrima" w:hAnsi="Ebrima" w:cs="Ebrima"/>
          <w:sz w:val="20"/>
          <w:szCs w:val="20"/>
        </w:rPr>
        <w:t xml:space="preserve">les stations de base de téléphonie mobile </w:t>
      </w:r>
      <w:r w:rsidR="00690034" w:rsidRPr="003566ED">
        <w:rPr>
          <w:rFonts w:ascii="Ebrima" w:eastAsia="Ebrima" w:hAnsi="Ebrima" w:cs="Ebrima"/>
          <w:sz w:val="20"/>
          <w:szCs w:val="20"/>
        </w:rPr>
        <w:t>et bientôt les équipement</w:t>
      </w:r>
      <w:r w:rsidR="003566ED">
        <w:rPr>
          <w:rFonts w:ascii="Ebrima" w:eastAsia="Ebrima" w:hAnsi="Ebrima" w:cs="Ebrima"/>
          <w:sz w:val="20"/>
          <w:szCs w:val="20"/>
        </w:rPr>
        <w:t>s des territoires intelligents.</w:t>
      </w:r>
      <w:r w:rsidR="002618BE">
        <w:rPr>
          <w:rFonts w:ascii="Ebrima" w:eastAsia="Ebrima" w:hAnsi="Ebrima" w:cs="Ebrima"/>
          <w:sz w:val="20"/>
          <w:szCs w:val="20"/>
        </w:rPr>
        <w:t xml:space="preserve"> La nature du raccordement (BLOM avec </w:t>
      </w:r>
      <w:proofErr w:type="spellStart"/>
      <w:r w:rsidR="002618BE">
        <w:rPr>
          <w:rFonts w:ascii="Ebrima" w:eastAsia="Ebrima" w:hAnsi="Ebrima" w:cs="Ebrima"/>
          <w:sz w:val="20"/>
          <w:szCs w:val="20"/>
        </w:rPr>
        <w:t>QoS</w:t>
      </w:r>
      <w:proofErr w:type="spellEnd"/>
      <w:r w:rsidR="002618BE">
        <w:rPr>
          <w:rFonts w:ascii="Ebrima" w:eastAsia="Ebrima" w:hAnsi="Ebrima" w:cs="Ebrima"/>
          <w:sz w:val="20"/>
          <w:szCs w:val="20"/>
        </w:rPr>
        <w:t xml:space="preserve"> renforcée, fibre surnuméraire, etc.) ne doit pas se traduire par une offre spécifique GC-BLO.</w:t>
      </w:r>
    </w:p>
    <w:p w:rsidR="003566ED" w:rsidRPr="003566ED" w:rsidRDefault="003566ED" w:rsidP="00305B96">
      <w:pPr>
        <w:spacing w:before="0" w:after="120" w:line="276" w:lineRule="auto"/>
        <w:rPr>
          <w:rFonts w:ascii="Ebrima" w:hAnsi="Ebrima"/>
          <w:sz w:val="20"/>
          <w:szCs w:val="20"/>
        </w:rPr>
      </w:pPr>
      <w:r>
        <w:rPr>
          <w:rFonts w:ascii="Ebrima" w:eastAsia="Ebrima" w:hAnsi="Ebrima" w:cs="Ebrima"/>
          <w:sz w:val="20"/>
          <w:szCs w:val="20"/>
        </w:rPr>
        <w:t xml:space="preserve">La distinction proposée conforte la structure tarifaire à la prise. Or, </w:t>
      </w:r>
      <w:r w:rsidRPr="00134212">
        <w:rPr>
          <w:rFonts w:ascii="Ebrima" w:eastAsia="Ebrima" w:hAnsi="Ebrima" w:cs="Ebrima"/>
          <w:b/>
          <w:sz w:val="20"/>
          <w:szCs w:val="20"/>
        </w:rPr>
        <w:t>des demandes quant à une tarification linéaire sont avancées</w:t>
      </w:r>
      <w:r>
        <w:rPr>
          <w:rFonts w:ascii="Ebrima" w:eastAsia="Ebrima" w:hAnsi="Ebrima" w:cs="Ebrima"/>
          <w:sz w:val="20"/>
          <w:szCs w:val="20"/>
        </w:rPr>
        <w:t>, ce que la FNCCR constate et sur laquelle elle n’a pas d’opposition de principe.</w:t>
      </w:r>
    </w:p>
    <w:tbl>
      <w:tblPr>
        <w:tblStyle w:val="af3"/>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3566ED" w:rsidRPr="003566ED" w:rsidTr="006C1BC1">
        <w:trPr>
          <w:trHeight w:val="1100"/>
        </w:trPr>
        <w:tc>
          <w:tcPr>
            <w:tcW w:w="1418" w:type="dxa"/>
            <w:vAlign w:val="center"/>
          </w:tcPr>
          <w:p w:rsidR="001E3A61" w:rsidRPr="003566ED" w:rsidRDefault="009B37DB" w:rsidP="00D77EB1">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Question 21</w:t>
            </w:r>
          </w:p>
        </w:tc>
        <w:tc>
          <w:tcPr>
            <w:tcW w:w="7706" w:type="dxa"/>
            <w:vAlign w:val="center"/>
          </w:tcPr>
          <w:p w:rsidR="001E3A61" w:rsidRPr="003566ED" w:rsidRDefault="009B37DB" w:rsidP="00D77EB1">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 xml:space="preserve">Les acteurs sont invités à se prononcer sur la pertinence d’imposer à Orange, lors du prochain cycle d’analyse des marchés fixes, de donner accès à son offre LFO pour collecter l’ensemble des flux issus des boucles locales optiques selon une tarification neutre aux usages. </w:t>
            </w:r>
          </w:p>
        </w:tc>
      </w:tr>
    </w:tbl>
    <w:p w:rsidR="004F3174" w:rsidRDefault="006B73C5" w:rsidP="004F3174">
      <w:pPr>
        <w:spacing w:after="120" w:line="276" w:lineRule="auto"/>
        <w:rPr>
          <w:rFonts w:ascii="Ebrima" w:hAnsi="Ebrima"/>
          <w:sz w:val="20"/>
          <w:szCs w:val="20"/>
        </w:rPr>
      </w:pPr>
      <w:r w:rsidRPr="003566ED">
        <w:rPr>
          <w:rFonts w:ascii="Ebrima" w:eastAsia="Ebrima" w:hAnsi="Ebrima" w:cs="Ebrima"/>
          <w:sz w:val="20"/>
          <w:szCs w:val="20"/>
        </w:rPr>
        <w:t>La FNCCR approuve la proposition de l’Autorité, pour les motifs similaires à ceux évoqués à la question immédiatement précédente.</w:t>
      </w:r>
      <w:r w:rsidR="004F3174" w:rsidRPr="004F3174">
        <w:rPr>
          <w:rFonts w:ascii="Ebrima" w:hAnsi="Ebrima"/>
          <w:sz w:val="20"/>
          <w:szCs w:val="20"/>
        </w:rPr>
        <w:t xml:space="preserve"> </w:t>
      </w:r>
      <w:r w:rsidR="004F3174">
        <w:rPr>
          <w:rFonts w:ascii="Ebrima" w:hAnsi="Ebrima"/>
          <w:sz w:val="20"/>
          <w:szCs w:val="20"/>
        </w:rPr>
        <w:t xml:space="preserve">La nature des flux collectés s’étends :  communications électroniques grand public, entreprises, flux d’opérateurs tiers, opérateurs mobiles, IOT, etc. </w:t>
      </w:r>
    </w:p>
    <w:tbl>
      <w:tblPr>
        <w:tblStyle w:val="af4"/>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3566ED" w:rsidRPr="003566ED" w:rsidTr="006C1BC1">
        <w:trPr>
          <w:trHeight w:val="700"/>
        </w:trPr>
        <w:tc>
          <w:tcPr>
            <w:tcW w:w="1418" w:type="dxa"/>
            <w:vAlign w:val="center"/>
          </w:tcPr>
          <w:p w:rsidR="001E3A61" w:rsidRPr="003566ED" w:rsidRDefault="009B37DB" w:rsidP="00D77EB1">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Question 22</w:t>
            </w:r>
          </w:p>
        </w:tc>
        <w:tc>
          <w:tcPr>
            <w:tcW w:w="7706" w:type="dxa"/>
            <w:vAlign w:val="center"/>
          </w:tcPr>
          <w:p w:rsidR="001E3A61" w:rsidRPr="003566ED" w:rsidRDefault="009B37DB" w:rsidP="00D77EB1">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 xml:space="preserve">L’Autorité invite les contributeurs à formuler d’éventuelles remarques sur cette offre de gros et la prestation d’information préalable qui lui est associée. </w:t>
            </w:r>
          </w:p>
        </w:tc>
      </w:tr>
    </w:tbl>
    <w:p w:rsidR="00855C23" w:rsidRDefault="002A67DB" w:rsidP="002A67DB">
      <w:pPr>
        <w:spacing w:after="120" w:line="276" w:lineRule="auto"/>
        <w:rPr>
          <w:rFonts w:ascii="Ebrima" w:hAnsi="Ebrima"/>
          <w:sz w:val="20"/>
          <w:szCs w:val="20"/>
        </w:rPr>
      </w:pPr>
      <w:r>
        <w:rPr>
          <w:rFonts w:ascii="Ebrima" w:hAnsi="Ebrima"/>
          <w:sz w:val="20"/>
          <w:szCs w:val="20"/>
        </w:rPr>
        <w:t>La FNCCR n’a pas de remarque particulière, constatant que le réseau et les infrastructures de l’opérateur historique doi</w:t>
      </w:r>
      <w:r w:rsidR="007C468D">
        <w:rPr>
          <w:rFonts w:ascii="Ebrima" w:hAnsi="Ebrima"/>
          <w:sz w:val="20"/>
          <w:szCs w:val="20"/>
        </w:rPr>
        <w:t>ven</w:t>
      </w:r>
      <w:r>
        <w:rPr>
          <w:rFonts w:ascii="Ebrima" w:hAnsi="Ebrima"/>
          <w:sz w:val="20"/>
          <w:szCs w:val="20"/>
        </w:rPr>
        <w:t>t être le socle des déploiements de la BLOM, sous pression des critères du cofinancement de l’Etat.</w:t>
      </w:r>
    </w:p>
    <w:tbl>
      <w:tblPr>
        <w:tblStyle w:val="af5"/>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3566ED" w:rsidRPr="003566ED" w:rsidTr="006C1BC1">
        <w:trPr>
          <w:trHeight w:val="660"/>
        </w:trPr>
        <w:tc>
          <w:tcPr>
            <w:tcW w:w="1418" w:type="dxa"/>
            <w:vAlign w:val="center"/>
          </w:tcPr>
          <w:p w:rsidR="001E3A61" w:rsidRPr="003566ED" w:rsidRDefault="009B37DB" w:rsidP="00D77EB1">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Question 23</w:t>
            </w:r>
          </w:p>
        </w:tc>
        <w:tc>
          <w:tcPr>
            <w:tcW w:w="7706" w:type="dxa"/>
            <w:vAlign w:val="center"/>
          </w:tcPr>
          <w:p w:rsidR="001E3A61" w:rsidRPr="003566ED" w:rsidRDefault="009B37DB" w:rsidP="00D77EB1">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 xml:space="preserve">Les acteurs sont invités à se prononcer sur la longueur maximale des liens de fibre optique nécessaire pour collecter des NRO entre eux.  </w:t>
            </w:r>
          </w:p>
        </w:tc>
      </w:tr>
    </w:tbl>
    <w:p w:rsidR="00855C23" w:rsidRDefault="00855C23" w:rsidP="001D3D0D">
      <w:pPr>
        <w:spacing w:after="120" w:line="276" w:lineRule="auto"/>
        <w:rPr>
          <w:rFonts w:ascii="Ebrima" w:hAnsi="Ebrima"/>
          <w:sz w:val="20"/>
          <w:szCs w:val="20"/>
        </w:rPr>
      </w:pPr>
      <w:r>
        <w:rPr>
          <w:rFonts w:ascii="Ebrima" w:hAnsi="Ebrima"/>
          <w:sz w:val="20"/>
          <w:szCs w:val="20"/>
        </w:rPr>
        <w:t>La FNCCR n’émettra pas d’avis technique sur la question.</w:t>
      </w:r>
    </w:p>
    <w:tbl>
      <w:tblPr>
        <w:tblStyle w:val="af6"/>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3566ED" w:rsidRPr="003566ED" w:rsidTr="006C1BC1">
        <w:trPr>
          <w:trHeight w:val="1400"/>
        </w:trPr>
        <w:tc>
          <w:tcPr>
            <w:tcW w:w="1418" w:type="dxa"/>
            <w:vAlign w:val="center"/>
          </w:tcPr>
          <w:p w:rsidR="001E3A61" w:rsidRPr="003566ED" w:rsidRDefault="009B37DB" w:rsidP="00D77EB1">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Question 24</w:t>
            </w:r>
          </w:p>
        </w:tc>
        <w:tc>
          <w:tcPr>
            <w:tcW w:w="7706" w:type="dxa"/>
            <w:vAlign w:val="center"/>
          </w:tcPr>
          <w:p w:rsidR="001E3A61" w:rsidRPr="003566ED" w:rsidRDefault="009B37DB" w:rsidP="00D77EB1">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Les acteurs sont invités, d’une part, à s’exprimer sur la nécessité d’imposer à Orange d’ouvrir l’accès à son offre LFO y compris pour permettre de collecter entre eux les NRO tiers, d’autre part, sur l’adéquation des solutions de livraison des extrémités des liens LFO pour les sites non hébergés dans une infrastructure d’Orange (NRO tiers et POP) actuellement prévues dans l’offre LFO.</w:t>
            </w:r>
          </w:p>
        </w:tc>
      </w:tr>
    </w:tbl>
    <w:p w:rsidR="001E3A61" w:rsidRPr="001A4D80" w:rsidRDefault="001A4D80" w:rsidP="007367CD">
      <w:pPr>
        <w:spacing w:after="120" w:line="276" w:lineRule="auto"/>
        <w:rPr>
          <w:rFonts w:ascii="Ebrima" w:eastAsia="Ebrima" w:hAnsi="Ebrima" w:cs="Ebrima"/>
          <w:sz w:val="20"/>
          <w:szCs w:val="20"/>
        </w:rPr>
      </w:pPr>
      <w:r>
        <w:rPr>
          <w:rFonts w:ascii="Ebrima" w:eastAsia="Ebrima" w:hAnsi="Ebrima" w:cs="Ebrima"/>
          <w:sz w:val="20"/>
          <w:szCs w:val="20"/>
        </w:rPr>
        <w:t>La</w:t>
      </w:r>
      <w:r w:rsidR="006B73C5" w:rsidRPr="003566ED">
        <w:rPr>
          <w:rFonts w:ascii="Ebrima" w:eastAsia="Ebrima" w:hAnsi="Ebrima" w:cs="Ebrima"/>
          <w:sz w:val="20"/>
          <w:szCs w:val="20"/>
        </w:rPr>
        <w:t xml:space="preserve"> FNCCR </w:t>
      </w:r>
      <w:r>
        <w:rPr>
          <w:rFonts w:ascii="Ebrima" w:eastAsia="Ebrima" w:hAnsi="Ebrima" w:cs="Ebrima"/>
          <w:sz w:val="20"/>
          <w:szCs w:val="20"/>
        </w:rPr>
        <w:t xml:space="preserve">rappelle la demande récurrente d’accès aux fourreaux </w:t>
      </w:r>
      <w:r w:rsidR="00621F15">
        <w:rPr>
          <w:rFonts w:ascii="Ebrima" w:eastAsia="Ebrima" w:hAnsi="Ebrima" w:cs="Ebrima"/>
          <w:sz w:val="20"/>
          <w:szCs w:val="20"/>
        </w:rPr>
        <w:t xml:space="preserve">de l’opérateur historique </w:t>
      </w:r>
      <w:r>
        <w:rPr>
          <w:rFonts w:ascii="Ebrima" w:eastAsia="Ebrima" w:hAnsi="Ebrima" w:cs="Ebrima"/>
          <w:sz w:val="20"/>
          <w:szCs w:val="20"/>
        </w:rPr>
        <w:t xml:space="preserve">entre NRA et NRA et entre NRA et NRO, </w:t>
      </w:r>
      <w:r w:rsidR="00903AF1">
        <w:rPr>
          <w:rFonts w:ascii="Ebrima" w:eastAsia="Ebrima" w:hAnsi="Ebrima" w:cs="Ebrima"/>
          <w:sz w:val="20"/>
          <w:szCs w:val="20"/>
        </w:rPr>
        <w:t>que</w:t>
      </w:r>
      <w:r>
        <w:rPr>
          <w:rFonts w:ascii="Ebrima" w:eastAsia="Ebrima" w:hAnsi="Ebrima" w:cs="Ebrima"/>
          <w:sz w:val="20"/>
          <w:szCs w:val="20"/>
        </w:rPr>
        <w:t xml:space="preserve"> </w:t>
      </w:r>
      <w:r w:rsidR="00387AFC">
        <w:rPr>
          <w:rFonts w:ascii="Ebrima" w:eastAsia="Ebrima" w:hAnsi="Ebrima" w:cs="Ebrima"/>
          <w:sz w:val="20"/>
          <w:szCs w:val="20"/>
        </w:rPr>
        <w:t>l’</w:t>
      </w:r>
      <w:r w:rsidR="00903AF1">
        <w:rPr>
          <w:rFonts w:ascii="Ebrima" w:eastAsia="Ebrima" w:hAnsi="Ebrima" w:cs="Ebrima"/>
          <w:sz w:val="20"/>
          <w:szCs w:val="20"/>
        </w:rPr>
        <w:t>application de l’</w:t>
      </w:r>
      <w:r w:rsidR="00387AFC">
        <w:rPr>
          <w:rFonts w:ascii="Ebrima" w:eastAsia="Ebrima" w:hAnsi="Ebrima" w:cs="Ebrima"/>
          <w:sz w:val="20"/>
          <w:szCs w:val="20"/>
        </w:rPr>
        <w:t xml:space="preserve">ordonnance n°2016-526 du 28 avril 2016 </w:t>
      </w:r>
      <w:r w:rsidR="00903AF1">
        <w:rPr>
          <w:rFonts w:ascii="Ebrima" w:eastAsia="Ebrima" w:hAnsi="Ebrima" w:cs="Ebrima"/>
          <w:sz w:val="20"/>
          <w:szCs w:val="20"/>
        </w:rPr>
        <w:t xml:space="preserve">ne peut que </w:t>
      </w:r>
      <w:r w:rsidR="00134212">
        <w:rPr>
          <w:rFonts w:ascii="Ebrima" w:eastAsia="Ebrima" w:hAnsi="Ebrima" w:cs="Ebrima"/>
          <w:sz w:val="20"/>
          <w:szCs w:val="20"/>
        </w:rPr>
        <w:t>satisfaire.</w:t>
      </w:r>
    </w:p>
    <w:tbl>
      <w:tblPr>
        <w:tblStyle w:val="af7"/>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3566ED" w:rsidRPr="003566ED" w:rsidTr="006C1BC1">
        <w:trPr>
          <w:trHeight w:val="400"/>
        </w:trPr>
        <w:tc>
          <w:tcPr>
            <w:tcW w:w="1418" w:type="dxa"/>
            <w:vAlign w:val="center"/>
          </w:tcPr>
          <w:p w:rsidR="001E3A61" w:rsidRPr="003566ED" w:rsidRDefault="009B37DB" w:rsidP="003566ED">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Question 25</w:t>
            </w:r>
          </w:p>
        </w:tc>
        <w:tc>
          <w:tcPr>
            <w:tcW w:w="7706" w:type="dxa"/>
            <w:vAlign w:val="center"/>
          </w:tcPr>
          <w:p w:rsidR="001E3A61" w:rsidRPr="003566ED" w:rsidRDefault="009B37DB" w:rsidP="003566ED">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 xml:space="preserve">Les acteurs sont par ailleurs invités à identifier tout autre enjeu sur la collecte.  </w:t>
            </w:r>
          </w:p>
        </w:tc>
      </w:tr>
    </w:tbl>
    <w:p w:rsidR="001E3A61" w:rsidRPr="003566ED" w:rsidRDefault="009B37DB" w:rsidP="007367CD">
      <w:pPr>
        <w:spacing w:after="120" w:line="276" w:lineRule="auto"/>
        <w:rPr>
          <w:rFonts w:ascii="Ebrima" w:hAnsi="Ebrima"/>
          <w:sz w:val="20"/>
          <w:szCs w:val="20"/>
        </w:rPr>
      </w:pPr>
      <w:r w:rsidRPr="003566ED">
        <w:rPr>
          <w:rFonts w:ascii="Ebrima" w:eastAsia="Ebrima" w:hAnsi="Ebrima" w:cs="Ebrima"/>
          <w:sz w:val="20"/>
          <w:szCs w:val="20"/>
        </w:rPr>
        <w:t xml:space="preserve">La FNCCR </w:t>
      </w:r>
      <w:r w:rsidR="00E32200" w:rsidRPr="003566ED">
        <w:rPr>
          <w:rFonts w:ascii="Ebrima" w:eastAsia="Ebrima" w:hAnsi="Ebrima" w:cs="Ebrima"/>
          <w:sz w:val="20"/>
          <w:szCs w:val="20"/>
        </w:rPr>
        <w:t xml:space="preserve">rappelle qu’il y a un enjeu à pouvoir </w:t>
      </w:r>
      <w:r w:rsidR="00E32200" w:rsidRPr="00134212">
        <w:rPr>
          <w:rFonts w:ascii="Ebrima" w:eastAsia="Ebrima" w:hAnsi="Ebrima" w:cs="Ebrima"/>
          <w:b/>
          <w:sz w:val="20"/>
          <w:szCs w:val="20"/>
        </w:rPr>
        <w:t xml:space="preserve">comptabiliser </w:t>
      </w:r>
      <w:r w:rsidR="006C1BC1" w:rsidRPr="00134212">
        <w:rPr>
          <w:rFonts w:ascii="Ebrima" w:eastAsia="Ebrima" w:hAnsi="Ebrima" w:cs="Ebrima"/>
          <w:b/>
          <w:sz w:val="20"/>
          <w:szCs w:val="20"/>
        </w:rPr>
        <w:t>en CAPEX</w:t>
      </w:r>
      <w:r w:rsidR="006C1BC1" w:rsidRPr="003566ED">
        <w:rPr>
          <w:rFonts w:ascii="Ebrima" w:eastAsia="Ebrima" w:hAnsi="Ebrima" w:cs="Ebrima"/>
          <w:sz w:val="20"/>
          <w:szCs w:val="20"/>
        </w:rPr>
        <w:t xml:space="preserve"> </w:t>
      </w:r>
      <w:r w:rsidR="00E32200" w:rsidRPr="003566ED">
        <w:rPr>
          <w:rFonts w:ascii="Ebrima" w:eastAsia="Ebrima" w:hAnsi="Ebrima" w:cs="Ebrima"/>
          <w:sz w:val="20"/>
          <w:szCs w:val="20"/>
        </w:rPr>
        <w:t xml:space="preserve">les dépenses liées à la constitution d’une collecte </w:t>
      </w:r>
      <w:r w:rsidR="006C1BC1">
        <w:rPr>
          <w:rFonts w:ascii="Ebrima" w:eastAsia="Ebrima" w:hAnsi="Ebrima" w:cs="Ebrima"/>
          <w:sz w:val="20"/>
          <w:szCs w:val="20"/>
        </w:rPr>
        <w:t>et d’imposer la possibilité d</w:t>
      </w:r>
      <w:r w:rsidR="00E32200" w:rsidRPr="003566ED">
        <w:rPr>
          <w:rFonts w:ascii="Ebrima" w:eastAsia="Ebrima" w:hAnsi="Ebrima" w:cs="Ebrima"/>
          <w:sz w:val="20"/>
          <w:szCs w:val="20"/>
        </w:rPr>
        <w:t>’acquisition par droits d’usage indéfectibles (IRU).</w:t>
      </w:r>
    </w:p>
    <w:tbl>
      <w:tblPr>
        <w:tblStyle w:val="af8"/>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3566ED" w:rsidRPr="003566ED" w:rsidTr="006C1BC1">
        <w:trPr>
          <w:trHeight w:val="680"/>
        </w:trPr>
        <w:tc>
          <w:tcPr>
            <w:tcW w:w="1418" w:type="dxa"/>
            <w:vAlign w:val="center"/>
          </w:tcPr>
          <w:p w:rsidR="001E3A61" w:rsidRPr="003566ED" w:rsidRDefault="009B37DB" w:rsidP="003566ED">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Question 26</w:t>
            </w:r>
          </w:p>
        </w:tc>
        <w:tc>
          <w:tcPr>
            <w:tcW w:w="7706" w:type="dxa"/>
            <w:vAlign w:val="center"/>
          </w:tcPr>
          <w:p w:rsidR="001E3A61" w:rsidRPr="003566ED" w:rsidRDefault="009B37DB" w:rsidP="003566ED">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 xml:space="preserve">Les contributeurs sont invités à commenter l’analyse de l’ARCEP concernant les conditions d’utilisation de la boucle locale cuivre. </w:t>
            </w:r>
          </w:p>
        </w:tc>
      </w:tr>
    </w:tbl>
    <w:p w:rsidR="001E3A61" w:rsidRDefault="00994D2A" w:rsidP="003566ED">
      <w:pPr>
        <w:spacing w:line="276" w:lineRule="auto"/>
        <w:rPr>
          <w:rFonts w:ascii="Ebrima" w:hAnsi="Ebrima"/>
          <w:sz w:val="20"/>
          <w:szCs w:val="20"/>
        </w:rPr>
      </w:pPr>
      <w:r>
        <w:rPr>
          <w:rFonts w:ascii="Ebrima" w:hAnsi="Ebrima"/>
          <w:sz w:val="20"/>
          <w:szCs w:val="20"/>
        </w:rPr>
        <w:t>La FNCCR convient que le marché ADSL, en particulier sur le segment grand public, a atteint sa phase de maturité et à entamer un léger déclin et que dans la perspective d’une migration du cuivre vers la fibre, il n’y a plus lieu de concevoir de nouvelles offres ou des améliorations des existantes.</w:t>
      </w:r>
    </w:p>
    <w:p w:rsidR="00994D2A" w:rsidRDefault="00994D2A" w:rsidP="00DB1874">
      <w:pPr>
        <w:spacing w:after="120" w:line="276" w:lineRule="auto"/>
        <w:rPr>
          <w:rFonts w:ascii="Ebrima" w:hAnsi="Ebrima"/>
          <w:sz w:val="20"/>
          <w:szCs w:val="20"/>
        </w:rPr>
      </w:pPr>
      <w:r>
        <w:rPr>
          <w:rFonts w:ascii="Ebrima" w:hAnsi="Ebrima"/>
          <w:sz w:val="20"/>
          <w:szCs w:val="20"/>
        </w:rPr>
        <w:t xml:space="preserve">Néanmoins, </w:t>
      </w:r>
      <w:r w:rsidR="00F536D2">
        <w:rPr>
          <w:rFonts w:ascii="Ebrima" w:hAnsi="Ebrima"/>
          <w:sz w:val="20"/>
          <w:szCs w:val="20"/>
        </w:rPr>
        <w:t>eu égard au</w:t>
      </w:r>
      <w:r>
        <w:rPr>
          <w:rFonts w:ascii="Ebrima" w:hAnsi="Ebrima"/>
          <w:sz w:val="20"/>
          <w:szCs w:val="20"/>
        </w:rPr>
        <w:t xml:space="preserve"> parc clients encore très significatif et </w:t>
      </w:r>
      <w:r w:rsidR="00F536D2">
        <w:rPr>
          <w:rFonts w:ascii="Ebrima" w:hAnsi="Ebrima"/>
          <w:sz w:val="20"/>
          <w:szCs w:val="20"/>
        </w:rPr>
        <w:t xml:space="preserve">au </w:t>
      </w:r>
      <w:r>
        <w:rPr>
          <w:rFonts w:ascii="Ebrima" w:hAnsi="Ebrima"/>
          <w:sz w:val="20"/>
          <w:szCs w:val="20"/>
        </w:rPr>
        <w:t>caractère rémunérateur</w:t>
      </w:r>
      <w:r w:rsidR="00F536D2">
        <w:rPr>
          <w:rFonts w:ascii="Ebrima" w:hAnsi="Ebrima"/>
          <w:sz w:val="20"/>
          <w:szCs w:val="20"/>
        </w:rPr>
        <w:t xml:space="preserve"> du marché x</w:t>
      </w:r>
      <w:r>
        <w:rPr>
          <w:rFonts w:ascii="Ebrima" w:hAnsi="Ebrima"/>
          <w:sz w:val="20"/>
          <w:szCs w:val="20"/>
        </w:rPr>
        <w:t>DSL pour les RIP 1G (encore) et 2G (montée en débit sur cuivre), la FNCCR approuve le dispositif de surveillance de la qualité de service.</w:t>
      </w:r>
    </w:p>
    <w:tbl>
      <w:tblPr>
        <w:tblStyle w:val="af9"/>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3566ED" w:rsidRPr="003566ED" w:rsidTr="006C1BC1">
        <w:trPr>
          <w:trHeight w:val="960"/>
        </w:trPr>
        <w:tc>
          <w:tcPr>
            <w:tcW w:w="1418" w:type="dxa"/>
            <w:vAlign w:val="center"/>
          </w:tcPr>
          <w:p w:rsidR="001E3A61" w:rsidRPr="003566ED" w:rsidRDefault="009B37DB" w:rsidP="003566ED">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Question 27</w:t>
            </w:r>
          </w:p>
        </w:tc>
        <w:tc>
          <w:tcPr>
            <w:tcW w:w="7706" w:type="dxa"/>
            <w:vAlign w:val="center"/>
          </w:tcPr>
          <w:p w:rsidR="001E3A61" w:rsidRPr="003566ED" w:rsidRDefault="009B37DB" w:rsidP="003566ED">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Les contributeurs sont invités à commenter le dispositif envisagé et à formuler leurs éventuelles propositions quant à l’amélioration de la lisibilité pour le client final de la qualité des offres de détail.</w:t>
            </w:r>
          </w:p>
        </w:tc>
      </w:tr>
    </w:tbl>
    <w:p w:rsidR="009810E5" w:rsidRPr="003566ED" w:rsidRDefault="009810E5" w:rsidP="007367CD">
      <w:pPr>
        <w:spacing w:after="120" w:line="276" w:lineRule="auto"/>
        <w:rPr>
          <w:rFonts w:ascii="Ebrima" w:hAnsi="Ebrima"/>
          <w:sz w:val="20"/>
          <w:szCs w:val="20"/>
        </w:rPr>
      </w:pPr>
      <w:r w:rsidRPr="003566ED">
        <w:rPr>
          <w:rFonts w:ascii="Ebrima" w:eastAsia="Ebrima" w:hAnsi="Ebrima" w:cs="Ebrima"/>
          <w:sz w:val="20"/>
          <w:szCs w:val="20"/>
        </w:rPr>
        <w:t>La FNCCR est favorable à la proposition de l’Autorité qui oblige l’opérateur historique et donne de la lisibilité côté clients.</w:t>
      </w:r>
    </w:p>
    <w:tbl>
      <w:tblPr>
        <w:tblStyle w:val="afa"/>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3566ED" w:rsidRPr="003566ED" w:rsidTr="006C1BC1">
        <w:trPr>
          <w:trHeight w:val="840"/>
        </w:trPr>
        <w:tc>
          <w:tcPr>
            <w:tcW w:w="1418" w:type="dxa"/>
            <w:vAlign w:val="center"/>
          </w:tcPr>
          <w:p w:rsidR="001E3A61" w:rsidRPr="003566ED" w:rsidRDefault="009B37DB" w:rsidP="003566ED">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Question 28</w:t>
            </w:r>
          </w:p>
        </w:tc>
        <w:tc>
          <w:tcPr>
            <w:tcW w:w="7706" w:type="dxa"/>
            <w:vAlign w:val="center"/>
          </w:tcPr>
          <w:p w:rsidR="001E3A61" w:rsidRPr="003566ED" w:rsidRDefault="009B37DB" w:rsidP="003566ED">
            <w:pPr>
              <w:spacing w:before="0" w:line="276" w:lineRule="auto"/>
              <w:rPr>
                <w:rFonts w:ascii="Ebrima" w:hAnsi="Ebrima"/>
                <w:color w:val="808080" w:themeColor="background1" w:themeShade="80"/>
                <w:sz w:val="20"/>
                <w:szCs w:val="20"/>
              </w:rPr>
            </w:pPr>
            <w:r w:rsidRPr="003566ED">
              <w:rPr>
                <w:rFonts w:ascii="Ebrima" w:eastAsia="Ebrima" w:hAnsi="Ebrima" w:cs="Ebrima"/>
                <w:b/>
                <w:color w:val="808080" w:themeColor="background1" w:themeShade="80"/>
                <w:sz w:val="20"/>
                <w:szCs w:val="20"/>
              </w:rPr>
              <w:t>Les contributeurs sont invités à se prononcer sur le système de pénalités actuel des offres de bitstream et de l’offre de dégroupage à destination du marché généraliste.</w:t>
            </w:r>
          </w:p>
        </w:tc>
      </w:tr>
    </w:tbl>
    <w:p w:rsidR="007C468D" w:rsidRDefault="009B37DB" w:rsidP="005E31FF">
      <w:pPr>
        <w:spacing w:after="120" w:line="276" w:lineRule="auto"/>
        <w:rPr>
          <w:rFonts w:ascii="Ebrima" w:eastAsia="Ebrima" w:hAnsi="Ebrima" w:cs="Ebrima"/>
          <w:sz w:val="20"/>
          <w:szCs w:val="20"/>
        </w:rPr>
      </w:pPr>
      <w:r w:rsidRPr="009810E5">
        <w:rPr>
          <w:rFonts w:ascii="Ebrima" w:eastAsia="Ebrima" w:hAnsi="Ebrima" w:cs="Ebrima"/>
          <w:sz w:val="20"/>
          <w:szCs w:val="20"/>
        </w:rPr>
        <w:t xml:space="preserve">La FNCCR </w:t>
      </w:r>
      <w:r w:rsidR="009810E5">
        <w:rPr>
          <w:rFonts w:ascii="Ebrima" w:eastAsia="Ebrima" w:hAnsi="Ebrima" w:cs="Ebrima"/>
          <w:sz w:val="20"/>
          <w:szCs w:val="20"/>
        </w:rPr>
        <w:t>souscrit à ce principe et n’a pas de commentaire particulier</w:t>
      </w:r>
      <w:r w:rsidR="00F536D2">
        <w:rPr>
          <w:rFonts w:ascii="Ebrima" w:eastAsia="Ebrima" w:hAnsi="Ebrima" w:cs="Ebrima"/>
          <w:sz w:val="20"/>
          <w:szCs w:val="20"/>
        </w:rPr>
        <w:t xml:space="preserve"> à ajouter</w:t>
      </w:r>
      <w:r w:rsidR="009810E5">
        <w:rPr>
          <w:rFonts w:ascii="Ebrima" w:eastAsia="Ebrima" w:hAnsi="Ebrima" w:cs="Ebrima"/>
          <w:sz w:val="20"/>
          <w:szCs w:val="20"/>
        </w:rPr>
        <w:t>.</w:t>
      </w:r>
    </w:p>
    <w:p w:rsidR="001E3A61" w:rsidRDefault="009B37DB" w:rsidP="005E31FF">
      <w:pPr>
        <w:spacing w:after="120" w:line="276" w:lineRule="auto"/>
      </w:pPr>
      <w:r>
        <w:br w:type="page"/>
      </w:r>
    </w:p>
    <w:p w:rsidR="001E3A61" w:rsidRDefault="009B37DB">
      <w:pPr>
        <w:pStyle w:val="Titre2"/>
      </w:pPr>
      <w:r>
        <w:t>Partie 3 : Faire émerger un marché de masse de la fibre optique pour les PME et stimuler une concurrence à au moins trois opérateurs investisseurs</w:t>
      </w:r>
    </w:p>
    <w:tbl>
      <w:tblPr>
        <w:tblStyle w:val="afb"/>
        <w:tblW w:w="898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564"/>
      </w:tblGrid>
      <w:tr w:rsidR="00A01AAF" w:rsidRPr="00A01AAF" w:rsidTr="00A01AAF">
        <w:trPr>
          <w:trHeight w:val="820"/>
        </w:trPr>
        <w:tc>
          <w:tcPr>
            <w:tcW w:w="1418" w:type="dxa"/>
            <w:vAlign w:val="center"/>
          </w:tcPr>
          <w:p w:rsidR="001E3A61" w:rsidRPr="00A01AAF" w:rsidRDefault="009B37DB">
            <w:pPr>
              <w:spacing w:before="0"/>
              <w:rPr>
                <w:rFonts w:ascii="Ebrima" w:hAnsi="Ebrima"/>
                <w:color w:val="808080" w:themeColor="background1" w:themeShade="80"/>
                <w:sz w:val="20"/>
                <w:szCs w:val="20"/>
              </w:rPr>
            </w:pPr>
            <w:r w:rsidRPr="00A01AAF">
              <w:rPr>
                <w:rFonts w:ascii="Ebrima" w:eastAsia="Ebrima" w:hAnsi="Ebrima" w:cs="Ebrima"/>
                <w:b/>
                <w:color w:val="808080" w:themeColor="background1" w:themeShade="80"/>
                <w:sz w:val="20"/>
                <w:szCs w:val="20"/>
              </w:rPr>
              <w:t>Question 29</w:t>
            </w:r>
          </w:p>
        </w:tc>
        <w:tc>
          <w:tcPr>
            <w:tcW w:w="7564" w:type="dxa"/>
            <w:vAlign w:val="center"/>
          </w:tcPr>
          <w:p w:rsidR="001E3A61" w:rsidRPr="00A01AAF" w:rsidRDefault="009B37DB">
            <w:pPr>
              <w:spacing w:before="0"/>
              <w:rPr>
                <w:rFonts w:ascii="Ebrima" w:hAnsi="Ebrima"/>
                <w:color w:val="808080" w:themeColor="background1" w:themeShade="80"/>
                <w:sz w:val="20"/>
                <w:szCs w:val="20"/>
              </w:rPr>
            </w:pPr>
            <w:r w:rsidRPr="00A01AAF">
              <w:rPr>
                <w:rFonts w:ascii="Ebrima" w:eastAsia="Ebrima" w:hAnsi="Ebrima" w:cs="Ebrima"/>
                <w:b/>
                <w:color w:val="808080" w:themeColor="background1" w:themeShade="80"/>
                <w:sz w:val="20"/>
                <w:szCs w:val="20"/>
              </w:rPr>
              <w:t xml:space="preserve">De façon générale, les acteurs sont invités à se prononcer sur les éléments présentés par l’Autorité et en particulier à faire part de leurs observations sur les adaptations du cadre asymétrique actuel qui leur paraîtraient pertinentes. </w:t>
            </w:r>
          </w:p>
        </w:tc>
      </w:tr>
    </w:tbl>
    <w:p w:rsidR="001E3A61" w:rsidRDefault="009B37DB" w:rsidP="00D92728">
      <w:pPr>
        <w:spacing w:after="120"/>
        <w:rPr>
          <w:rFonts w:ascii="Ebrima" w:eastAsia="Ebrima" w:hAnsi="Ebrima" w:cs="Ebrima"/>
          <w:sz w:val="20"/>
          <w:szCs w:val="20"/>
        </w:rPr>
      </w:pPr>
      <w:r w:rsidRPr="00A01AAF">
        <w:rPr>
          <w:rFonts w:ascii="Ebrima" w:eastAsia="Ebrima" w:hAnsi="Ebrima" w:cs="Ebrima"/>
          <w:sz w:val="20"/>
          <w:szCs w:val="20"/>
        </w:rPr>
        <w:t xml:space="preserve">La FNCCR </w:t>
      </w:r>
      <w:r w:rsidR="00D92728">
        <w:rPr>
          <w:rFonts w:ascii="Ebrima" w:eastAsia="Ebrima" w:hAnsi="Ebrima" w:cs="Ebrima"/>
          <w:sz w:val="20"/>
          <w:szCs w:val="20"/>
        </w:rPr>
        <w:t xml:space="preserve">prend acte de la proposition de l’Autorité </w:t>
      </w:r>
      <w:r w:rsidR="003B3080">
        <w:rPr>
          <w:rFonts w:ascii="Ebrima" w:eastAsia="Ebrima" w:hAnsi="Ebrima" w:cs="Ebrima"/>
          <w:sz w:val="20"/>
          <w:szCs w:val="20"/>
        </w:rPr>
        <w:t>de</w:t>
      </w:r>
      <w:r w:rsidR="00D92728">
        <w:rPr>
          <w:rFonts w:ascii="Ebrima" w:eastAsia="Ebrima" w:hAnsi="Ebrima" w:cs="Ebrima"/>
          <w:sz w:val="20"/>
          <w:szCs w:val="20"/>
        </w:rPr>
        <w:t xml:space="preserve"> ne considérer qu’un seul marché pertinent </w:t>
      </w:r>
      <w:r w:rsidR="003B3080">
        <w:rPr>
          <w:rFonts w:ascii="Ebrima" w:eastAsia="Ebrima" w:hAnsi="Ebrima" w:cs="Ebrima"/>
          <w:sz w:val="20"/>
          <w:szCs w:val="20"/>
        </w:rPr>
        <w:t xml:space="preserve">du </w:t>
      </w:r>
      <w:r w:rsidR="00D92728">
        <w:rPr>
          <w:rFonts w:ascii="Ebrima" w:eastAsia="Ebrima" w:hAnsi="Ebrima" w:cs="Ebrima"/>
          <w:sz w:val="20"/>
          <w:szCs w:val="20"/>
        </w:rPr>
        <w:t>THD offres spécifiques</w:t>
      </w:r>
      <w:r w:rsidR="003B3080">
        <w:rPr>
          <w:rFonts w:ascii="Ebrima" w:eastAsia="Ebrima" w:hAnsi="Ebrima" w:cs="Ebrima"/>
          <w:sz w:val="20"/>
          <w:szCs w:val="20"/>
        </w:rPr>
        <w:t xml:space="preserve"> « entreprises «</w:t>
      </w:r>
      <w:r w:rsidR="00D92728">
        <w:rPr>
          <w:rFonts w:ascii="Ebrima" w:eastAsia="Ebrima" w:hAnsi="Ebrima" w:cs="Ebrima"/>
          <w:sz w:val="20"/>
          <w:szCs w:val="20"/>
        </w:rPr>
        <w:t xml:space="preserve">, incluant à la fois les raccordement BLOM à qualité de service renforcée (segment </w:t>
      </w:r>
      <w:proofErr w:type="spellStart"/>
      <w:r w:rsidR="00D92728">
        <w:rPr>
          <w:rFonts w:ascii="Ebrima" w:eastAsia="Ebrima" w:hAnsi="Ebrima" w:cs="Ebrima"/>
          <w:sz w:val="20"/>
          <w:szCs w:val="20"/>
        </w:rPr>
        <w:t>FttE</w:t>
      </w:r>
      <w:proofErr w:type="spellEnd"/>
      <w:r w:rsidR="00D92728">
        <w:rPr>
          <w:rFonts w:ascii="Ebrima" w:eastAsia="Ebrima" w:hAnsi="Ebrima" w:cs="Ebrima"/>
          <w:sz w:val="20"/>
          <w:szCs w:val="20"/>
        </w:rPr>
        <w:t>) et les raccordements BLOD (</w:t>
      </w:r>
      <w:proofErr w:type="spellStart"/>
      <w:r w:rsidR="00D92728">
        <w:rPr>
          <w:rFonts w:ascii="Ebrima" w:eastAsia="Ebrima" w:hAnsi="Ebrima" w:cs="Ebrima"/>
          <w:sz w:val="20"/>
          <w:szCs w:val="20"/>
        </w:rPr>
        <w:t>FttO</w:t>
      </w:r>
      <w:proofErr w:type="spellEnd"/>
      <w:r w:rsidR="00D92728">
        <w:rPr>
          <w:rFonts w:ascii="Ebrima" w:eastAsia="Ebrima" w:hAnsi="Ebrima" w:cs="Ebrima"/>
          <w:sz w:val="20"/>
          <w:szCs w:val="20"/>
        </w:rPr>
        <w:t xml:space="preserve">), ceux-ci étant appelé à se marginaliser a priori. Il s’agit bien d’un marché </w:t>
      </w:r>
      <w:r w:rsidR="003B3080">
        <w:rPr>
          <w:rFonts w:ascii="Ebrima" w:eastAsia="Ebrima" w:hAnsi="Ebrima" w:cs="Ebrima"/>
          <w:sz w:val="20"/>
          <w:szCs w:val="20"/>
        </w:rPr>
        <w:t>dominé par un duopole</w:t>
      </w:r>
      <w:r w:rsidR="003B7BF5">
        <w:rPr>
          <w:rFonts w:ascii="Ebrima" w:eastAsia="Ebrima" w:hAnsi="Ebrima" w:cs="Ebrima"/>
          <w:sz w:val="20"/>
          <w:szCs w:val="20"/>
        </w:rPr>
        <w:t xml:space="preserve"> lequel devrait effectivement se voir incomber la publication d’une offre de référence et des obligations tarifaires</w:t>
      </w:r>
      <w:r w:rsidR="00D92728">
        <w:rPr>
          <w:rFonts w:ascii="Ebrima" w:eastAsia="Ebrima" w:hAnsi="Ebrima" w:cs="Ebrima"/>
          <w:sz w:val="20"/>
          <w:szCs w:val="20"/>
        </w:rPr>
        <w:t>.</w:t>
      </w:r>
      <w:r w:rsidR="003B3080">
        <w:rPr>
          <w:rFonts w:ascii="Ebrima" w:eastAsia="Ebrima" w:hAnsi="Ebrima" w:cs="Ebrima"/>
          <w:sz w:val="20"/>
          <w:szCs w:val="20"/>
        </w:rPr>
        <w:t xml:space="preserve"> </w:t>
      </w:r>
      <w:r w:rsidR="00820DF1">
        <w:rPr>
          <w:rFonts w:ascii="Ebrima" w:eastAsia="Ebrima" w:hAnsi="Ebrima" w:cs="Ebrima"/>
          <w:sz w:val="20"/>
          <w:szCs w:val="20"/>
        </w:rPr>
        <w:t>D’</w:t>
      </w:r>
      <w:r w:rsidR="003B7BF5">
        <w:rPr>
          <w:rFonts w:ascii="Ebrima" w:eastAsia="Ebrima" w:hAnsi="Ebrima" w:cs="Ebrima"/>
          <w:sz w:val="20"/>
          <w:szCs w:val="20"/>
        </w:rPr>
        <w:t>ailleurs,</w:t>
      </w:r>
      <w:r w:rsidR="003B3080">
        <w:rPr>
          <w:rFonts w:ascii="Ebrima" w:eastAsia="Ebrima" w:hAnsi="Ebrima" w:cs="Ebrima"/>
          <w:sz w:val="20"/>
          <w:szCs w:val="20"/>
        </w:rPr>
        <w:t xml:space="preserve"> des </w:t>
      </w:r>
      <w:r w:rsidR="003B7BF5">
        <w:rPr>
          <w:rFonts w:ascii="Ebrima" w:eastAsia="Ebrima" w:hAnsi="Ebrima" w:cs="Ebrima"/>
          <w:sz w:val="20"/>
          <w:szCs w:val="20"/>
        </w:rPr>
        <w:t xml:space="preserve">collectivités et EPCI </w:t>
      </w:r>
      <w:r w:rsidR="003B3080">
        <w:rPr>
          <w:rFonts w:ascii="Ebrima" w:eastAsia="Ebrima" w:hAnsi="Ebrima" w:cs="Ebrima"/>
          <w:sz w:val="20"/>
          <w:szCs w:val="20"/>
        </w:rPr>
        <w:t xml:space="preserve">opèrent des RIP entrant sur ce segment de marché </w:t>
      </w:r>
      <w:r w:rsidR="003B3080" w:rsidRPr="003B3080">
        <w:rPr>
          <w:rFonts w:ascii="Ebrima" w:hAnsi="Ebrima"/>
          <w:sz w:val="20"/>
          <w:szCs w:val="20"/>
        </w:rPr>
        <w:t>(réseau IMT de Toulouse Métropole, SEQUANTIC du SIPPEREC, projet RIP du Grand Lyon, etc.)</w:t>
      </w:r>
      <w:r w:rsidR="003B7BF5">
        <w:rPr>
          <w:rFonts w:ascii="Ebrima" w:hAnsi="Ebrima"/>
          <w:sz w:val="20"/>
          <w:szCs w:val="20"/>
        </w:rPr>
        <w:t xml:space="preserve"> qui sont tenu</w:t>
      </w:r>
      <w:r w:rsidR="00820DF1">
        <w:rPr>
          <w:rFonts w:ascii="Ebrima" w:hAnsi="Ebrima"/>
          <w:sz w:val="20"/>
          <w:szCs w:val="20"/>
        </w:rPr>
        <w:t>s</w:t>
      </w:r>
      <w:r w:rsidR="003B7BF5">
        <w:rPr>
          <w:rFonts w:ascii="Ebrima" w:hAnsi="Ebrima"/>
          <w:sz w:val="20"/>
          <w:szCs w:val="20"/>
        </w:rPr>
        <w:t xml:space="preserve"> à un catalogue de services public.</w:t>
      </w:r>
    </w:p>
    <w:tbl>
      <w:tblPr>
        <w:tblStyle w:val="afc"/>
        <w:tblW w:w="898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564"/>
      </w:tblGrid>
      <w:tr w:rsidR="00A01AAF" w:rsidRPr="00A01AAF" w:rsidTr="00A01AAF">
        <w:trPr>
          <w:trHeight w:val="1120"/>
        </w:trPr>
        <w:tc>
          <w:tcPr>
            <w:tcW w:w="1418" w:type="dxa"/>
            <w:vAlign w:val="center"/>
          </w:tcPr>
          <w:p w:rsidR="001E3A61" w:rsidRPr="00A01AAF" w:rsidRDefault="009B37DB">
            <w:pPr>
              <w:spacing w:before="0"/>
              <w:rPr>
                <w:rFonts w:ascii="Ebrima" w:hAnsi="Ebrima"/>
                <w:color w:val="808080" w:themeColor="background1" w:themeShade="80"/>
                <w:sz w:val="20"/>
                <w:szCs w:val="20"/>
              </w:rPr>
            </w:pPr>
            <w:r w:rsidRPr="00A01AAF">
              <w:rPr>
                <w:rFonts w:ascii="Ebrima" w:eastAsia="Ebrima" w:hAnsi="Ebrima" w:cs="Ebrima"/>
                <w:b/>
                <w:color w:val="808080" w:themeColor="background1" w:themeShade="80"/>
                <w:sz w:val="20"/>
                <w:szCs w:val="20"/>
              </w:rPr>
              <w:t>Question 30</w:t>
            </w:r>
          </w:p>
        </w:tc>
        <w:tc>
          <w:tcPr>
            <w:tcW w:w="7564" w:type="dxa"/>
            <w:vAlign w:val="center"/>
          </w:tcPr>
          <w:p w:rsidR="001E3A61" w:rsidRPr="00A01AAF" w:rsidRDefault="009B37DB">
            <w:pPr>
              <w:spacing w:before="0"/>
              <w:rPr>
                <w:rFonts w:ascii="Ebrima" w:hAnsi="Ebrima"/>
                <w:color w:val="808080" w:themeColor="background1" w:themeShade="80"/>
                <w:sz w:val="20"/>
                <w:szCs w:val="20"/>
              </w:rPr>
            </w:pPr>
            <w:r w:rsidRPr="00A01AAF">
              <w:rPr>
                <w:rFonts w:ascii="Ebrima" w:eastAsia="Ebrima" w:hAnsi="Ebrima" w:cs="Ebrima"/>
                <w:b/>
                <w:color w:val="808080" w:themeColor="background1" w:themeShade="80"/>
                <w:sz w:val="20"/>
                <w:szCs w:val="20"/>
              </w:rPr>
              <w:t xml:space="preserve">L’Autorité invite les acteurs à faire part de leurs éventuelles propositions d’adaptation du cadre asymétrique afin de faciliter l’émergence d’un tel acteur investisseur, en vue d’améliorer la dynamique concurrentielle sur le marché de gros activé pour l’entreprise. </w:t>
            </w:r>
          </w:p>
        </w:tc>
      </w:tr>
    </w:tbl>
    <w:p w:rsidR="002E4567" w:rsidRDefault="002E4567" w:rsidP="008664E0">
      <w:pPr>
        <w:rPr>
          <w:rFonts w:ascii="Ebrima" w:eastAsia="Ebrima" w:hAnsi="Ebrima" w:cs="Ebrima"/>
          <w:sz w:val="20"/>
          <w:szCs w:val="20"/>
        </w:rPr>
      </w:pPr>
      <w:r>
        <w:rPr>
          <w:rFonts w:ascii="Ebrima" w:eastAsia="Ebrima" w:hAnsi="Ebrima" w:cs="Ebrima"/>
          <w:sz w:val="20"/>
          <w:szCs w:val="20"/>
        </w:rPr>
        <w:t>L’exemple d’un troisième acteur de gros à l’échelle nationale été mentionné en question 7.</w:t>
      </w:r>
    </w:p>
    <w:p w:rsidR="00D92728" w:rsidRPr="00D92728" w:rsidRDefault="00D92728" w:rsidP="008664E0">
      <w:pPr>
        <w:rPr>
          <w:rFonts w:ascii="Ebrima" w:eastAsia="Ebrima" w:hAnsi="Ebrima" w:cs="Ebrima"/>
          <w:sz w:val="20"/>
          <w:szCs w:val="20"/>
        </w:rPr>
      </w:pPr>
      <w:r w:rsidRPr="00D92728">
        <w:rPr>
          <w:rFonts w:ascii="Ebrima" w:eastAsia="Ebrima" w:hAnsi="Ebrima" w:cs="Ebrima"/>
          <w:sz w:val="20"/>
          <w:szCs w:val="20"/>
        </w:rPr>
        <w:t>Dans la précédente consu</w:t>
      </w:r>
      <w:r w:rsidR="00FC1BB1">
        <w:rPr>
          <w:rFonts w:ascii="Ebrima" w:eastAsia="Ebrima" w:hAnsi="Ebrima" w:cs="Ebrima"/>
          <w:sz w:val="20"/>
          <w:szCs w:val="20"/>
        </w:rPr>
        <w:t>ltation mentionnée, la FNCCR a</w:t>
      </w:r>
      <w:r w:rsidRPr="00D92728">
        <w:rPr>
          <w:rFonts w:ascii="Ebrima" w:eastAsia="Ebrima" w:hAnsi="Ebrima" w:cs="Ebrima"/>
          <w:sz w:val="20"/>
          <w:szCs w:val="20"/>
        </w:rPr>
        <w:t xml:space="preserve"> soutenu les principes devant favoriser l’arrivée </w:t>
      </w:r>
      <w:r w:rsidR="002E4567" w:rsidRPr="002E4567">
        <w:rPr>
          <w:rFonts w:ascii="Ebrima" w:eastAsia="Ebrima" w:hAnsi="Ebrima" w:cs="Ebrima"/>
          <w:b/>
          <w:sz w:val="20"/>
          <w:szCs w:val="20"/>
        </w:rPr>
        <w:t>en ZTD</w:t>
      </w:r>
      <w:r w:rsidR="002E4567">
        <w:rPr>
          <w:rFonts w:ascii="Ebrima" w:eastAsia="Ebrima" w:hAnsi="Ebrima" w:cs="Ebrima"/>
          <w:sz w:val="20"/>
          <w:szCs w:val="20"/>
        </w:rPr>
        <w:t xml:space="preserve"> </w:t>
      </w:r>
      <w:r w:rsidRPr="00D92728">
        <w:rPr>
          <w:rFonts w:ascii="Ebrima" w:eastAsia="Ebrima" w:hAnsi="Ebrima" w:cs="Ebrima"/>
          <w:sz w:val="20"/>
          <w:szCs w:val="20"/>
        </w:rPr>
        <w:t>d’au moins un troisième opérateur de gros sur le marché « entreprises » ci-dessus évoqué :</w:t>
      </w:r>
    </w:p>
    <w:p w:rsidR="00D92728" w:rsidRPr="00D92728" w:rsidRDefault="002E4567" w:rsidP="00D92728">
      <w:pPr>
        <w:pStyle w:val="Paragraphedeliste"/>
        <w:numPr>
          <w:ilvl w:val="0"/>
          <w:numId w:val="4"/>
        </w:numPr>
        <w:spacing w:line="276" w:lineRule="auto"/>
        <w:rPr>
          <w:rFonts w:ascii="Ebrima" w:hAnsi="Ebrima"/>
          <w:sz w:val="20"/>
          <w:szCs w:val="20"/>
        </w:rPr>
      </w:pPr>
      <w:r>
        <w:rPr>
          <w:rFonts w:ascii="Ebrima" w:hAnsi="Ebrima"/>
          <w:sz w:val="20"/>
          <w:szCs w:val="20"/>
        </w:rPr>
        <w:t>É</w:t>
      </w:r>
      <w:r w:rsidRPr="00D92728">
        <w:rPr>
          <w:rFonts w:ascii="Ebrima" w:hAnsi="Ebrima"/>
          <w:sz w:val="20"/>
          <w:szCs w:val="20"/>
        </w:rPr>
        <w:t>largissement</w:t>
      </w:r>
      <w:r w:rsidR="00D92728" w:rsidRPr="00D92728">
        <w:rPr>
          <w:rFonts w:ascii="Ebrima" w:hAnsi="Ebrima"/>
          <w:sz w:val="20"/>
          <w:szCs w:val="20"/>
        </w:rPr>
        <w:t xml:space="preserve"> du catalogue de services sur le modèle des offres grand public (accès au NRO pour le tronçon NRO-PM) ;</w:t>
      </w:r>
    </w:p>
    <w:p w:rsidR="00D92728" w:rsidRPr="00D92728" w:rsidRDefault="00D92728" w:rsidP="00D92728">
      <w:pPr>
        <w:pStyle w:val="Paragraphedeliste"/>
        <w:numPr>
          <w:ilvl w:val="0"/>
          <w:numId w:val="4"/>
        </w:numPr>
        <w:spacing w:line="276" w:lineRule="auto"/>
        <w:rPr>
          <w:rFonts w:ascii="Ebrima" w:hAnsi="Ebrima"/>
          <w:sz w:val="20"/>
          <w:szCs w:val="20"/>
        </w:rPr>
      </w:pPr>
      <w:r w:rsidRPr="00D92728">
        <w:rPr>
          <w:rFonts w:ascii="Ebrima" w:hAnsi="Ebrima"/>
          <w:sz w:val="20"/>
          <w:szCs w:val="20"/>
        </w:rPr>
        <w:t>Aménagement des seuils de cofinancement, ajustés pour les acteurs à destination exclusive du marché « entreprises ».</w:t>
      </w:r>
    </w:p>
    <w:p w:rsidR="008664E0" w:rsidRPr="00A01AAF" w:rsidRDefault="002E4567" w:rsidP="008664E0">
      <w:pPr>
        <w:rPr>
          <w:rFonts w:ascii="Ebrima" w:hAnsi="Ebrima"/>
          <w:sz w:val="20"/>
          <w:szCs w:val="20"/>
        </w:rPr>
      </w:pPr>
      <w:r>
        <w:rPr>
          <w:rFonts w:ascii="Ebrima" w:eastAsia="Ebrima" w:hAnsi="Ebrima" w:cs="Ebrima"/>
          <w:sz w:val="20"/>
          <w:szCs w:val="20"/>
        </w:rPr>
        <w:t>En ZMD, l</w:t>
      </w:r>
      <w:r w:rsidR="008664E0" w:rsidRPr="00A01AAF">
        <w:rPr>
          <w:rFonts w:ascii="Ebrima" w:eastAsia="Ebrima" w:hAnsi="Ebrima" w:cs="Ebrima"/>
          <w:sz w:val="20"/>
          <w:szCs w:val="20"/>
        </w:rPr>
        <w:t xml:space="preserve">a FNCCR entend réaffirmer </w:t>
      </w:r>
      <w:r w:rsidR="008664E0" w:rsidRPr="00A01AAF">
        <w:rPr>
          <w:rFonts w:ascii="Ebrima" w:eastAsia="Ebrima" w:hAnsi="Ebrima" w:cs="Ebrima"/>
          <w:b/>
          <w:sz w:val="20"/>
          <w:szCs w:val="20"/>
        </w:rPr>
        <w:t>le rôle des RIP dans le marché de gros « entreprises »</w:t>
      </w:r>
      <w:r w:rsidR="008664E0" w:rsidRPr="00A01AAF">
        <w:rPr>
          <w:rFonts w:ascii="Ebrima" w:eastAsia="Ebrima" w:hAnsi="Ebrima" w:cs="Ebrima"/>
          <w:sz w:val="20"/>
          <w:szCs w:val="20"/>
        </w:rPr>
        <w:t>, forts d’une expérience acquise depuis une dizaine d’année.</w:t>
      </w:r>
      <w:r w:rsidR="008664E0">
        <w:rPr>
          <w:rFonts w:ascii="Ebrima" w:eastAsia="Ebrima" w:hAnsi="Ebrima" w:cs="Ebrima"/>
          <w:sz w:val="20"/>
          <w:szCs w:val="20"/>
        </w:rPr>
        <w:t xml:space="preserve"> </w:t>
      </w:r>
      <w:r w:rsidR="008664E0" w:rsidRPr="00A01AAF">
        <w:rPr>
          <w:rFonts w:ascii="Ebrima" w:eastAsia="Ebrima" w:hAnsi="Ebrima" w:cs="Ebrima"/>
          <w:sz w:val="20"/>
          <w:szCs w:val="20"/>
        </w:rPr>
        <w:t xml:space="preserve">Les RIP alimentent et doivent continuer d’alimenter le marché de gros de chaque segment du marché de détail « entreprises », que ce soit par </w:t>
      </w:r>
      <w:r w:rsidR="008664E0" w:rsidRPr="00A01AAF">
        <w:rPr>
          <w:rFonts w:ascii="Ebrima" w:eastAsia="Ebrima" w:hAnsi="Ebrima" w:cs="Ebrima"/>
          <w:b/>
          <w:sz w:val="20"/>
          <w:szCs w:val="20"/>
        </w:rPr>
        <w:t>des offres passives ou activées sur BLOM (et BLOD)</w:t>
      </w:r>
      <w:r w:rsidR="008664E0" w:rsidRPr="00A01AAF">
        <w:rPr>
          <w:rFonts w:ascii="Ebrima" w:eastAsia="Ebrima" w:hAnsi="Ebrima" w:cs="Ebrima"/>
          <w:sz w:val="20"/>
          <w:szCs w:val="20"/>
        </w:rPr>
        <w:t xml:space="preserve">. </w:t>
      </w:r>
    </w:p>
    <w:p w:rsidR="001E3A61" w:rsidRPr="00A01AAF" w:rsidRDefault="009B37DB">
      <w:pPr>
        <w:rPr>
          <w:rFonts w:ascii="Ebrima" w:hAnsi="Ebrima"/>
          <w:sz w:val="20"/>
          <w:szCs w:val="20"/>
        </w:rPr>
      </w:pPr>
      <w:r w:rsidRPr="00A01AAF">
        <w:rPr>
          <w:rFonts w:ascii="Ebrima" w:hAnsi="Ebrima"/>
          <w:sz w:val="20"/>
          <w:szCs w:val="20"/>
        </w:rPr>
        <w:br w:type="page"/>
      </w:r>
    </w:p>
    <w:p w:rsidR="001E3A61" w:rsidRDefault="009B37DB">
      <w:pPr>
        <w:pStyle w:val="Titre2"/>
      </w:pPr>
      <w:r>
        <w:t>Partie 4 : Faire progresser les débits et services sur l’ensemble du territoire</w:t>
      </w:r>
    </w:p>
    <w:p w:rsidR="001E3A61" w:rsidRPr="00A01AAF" w:rsidRDefault="009B37DB" w:rsidP="00485613">
      <w:pPr>
        <w:spacing w:line="276" w:lineRule="auto"/>
        <w:rPr>
          <w:rFonts w:ascii="Ebrima" w:hAnsi="Ebrima"/>
          <w:sz w:val="20"/>
          <w:szCs w:val="20"/>
        </w:rPr>
      </w:pPr>
      <w:r w:rsidRPr="00A01AAF">
        <w:rPr>
          <w:rFonts w:ascii="Ebrima" w:eastAsia="Ebrima" w:hAnsi="Ebrima" w:cs="Ebrima"/>
          <w:sz w:val="20"/>
          <w:szCs w:val="20"/>
        </w:rPr>
        <w:t>La FNCCR n’a pas vocation à répondre à l’intégralité des questions de la 4</w:t>
      </w:r>
      <w:r w:rsidRPr="00A01AAF">
        <w:rPr>
          <w:rFonts w:ascii="Ebrima" w:eastAsia="Ebrima" w:hAnsi="Ebrima" w:cs="Ebrima"/>
          <w:sz w:val="20"/>
          <w:szCs w:val="20"/>
          <w:vertAlign w:val="superscript"/>
        </w:rPr>
        <w:t>ème</w:t>
      </w:r>
      <w:r w:rsidRPr="00A01AAF">
        <w:rPr>
          <w:rFonts w:ascii="Ebrima" w:eastAsia="Ebrima" w:hAnsi="Ebrima" w:cs="Ebrima"/>
          <w:sz w:val="20"/>
          <w:szCs w:val="20"/>
        </w:rPr>
        <w:t xml:space="preserve"> partie. Néanmoins, elle souhaite réagir à certaines thématiques.</w:t>
      </w:r>
    </w:p>
    <w:p w:rsidR="001E3A61" w:rsidRPr="00A01AAF" w:rsidRDefault="001E3A61" w:rsidP="00485613">
      <w:pPr>
        <w:spacing w:line="276" w:lineRule="auto"/>
        <w:rPr>
          <w:rFonts w:ascii="Ebrima" w:hAnsi="Ebrima"/>
          <w:sz w:val="20"/>
          <w:szCs w:val="20"/>
        </w:rPr>
      </w:pPr>
    </w:p>
    <w:tbl>
      <w:tblPr>
        <w:tblStyle w:val="afd"/>
        <w:tblW w:w="898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564"/>
      </w:tblGrid>
      <w:tr w:rsidR="00A01AAF" w:rsidRPr="00A01AAF" w:rsidTr="00053E2E">
        <w:trPr>
          <w:trHeight w:val="5240"/>
        </w:trPr>
        <w:tc>
          <w:tcPr>
            <w:tcW w:w="1418" w:type="dxa"/>
            <w:vAlign w:val="center"/>
          </w:tcPr>
          <w:p w:rsidR="001E3A61" w:rsidRPr="00A01AAF" w:rsidRDefault="009B37DB" w:rsidP="00485613">
            <w:pPr>
              <w:spacing w:before="0" w:line="276" w:lineRule="auto"/>
              <w:rPr>
                <w:rFonts w:ascii="Ebrima" w:hAnsi="Ebrima"/>
                <w:color w:val="808080" w:themeColor="background1" w:themeShade="80"/>
                <w:sz w:val="20"/>
                <w:szCs w:val="20"/>
              </w:rPr>
            </w:pPr>
            <w:r w:rsidRPr="00A01AAF">
              <w:rPr>
                <w:rFonts w:ascii="Ebrima" w:eastAsia="Ebrima" w:hAnsi="Ebrima" w:cs="Ebrima"/>
                <w:b/>
                <w:color w:val="808080" w:themeColor="background1" w:themeShade="80"/>
                <w:sz w:val="20"/>
                <w:szCs w:val="20"/>
              </w:rPr>
              <w:t>Question 31</w:t>
            </w:r>
          </w:p>
        </w:tc>
        <w:tc>
          <w:tcPr>
            <w:tcW w:w="7564" w:type="dxa"/>
            <w:vAlign w:val="center"/>
          </w:tcPr>
          <w:p w:rsidR="001E3A61" w:rsidRPr="00A01AAF" w:rsidRDefault="009B37DB" w:rsidP="00485613">
            <w:pPr>
              <w:spacing w:before="0" w:line="276" w:lineRule="auto"/>
              <w:rPr>
                <w:rFonts w:ascii="Ebrima" w:hAnsi="Ebrima"/>
                <w:color w:val="808080" w:themeColor="background1" w:themeShade="80"/>
                <w:sz w:val="20"/>
                <w:szCs w:val="20"/>
              </w:rPr>
            </w:pPr>
            <w:r w:rsidRPr="00A01AAF">
              <w:rPr>
                <w:rFonts w:ascii="Ebrima" w:eastAsia="Ebrima" w:hAnsi="Ebrima" w:cs="Ebrima"/>
                <w:b/>
                <w:color w:val="808080" w:themeColor="background1" w:themeShade="80"/>
                <w:sz w:val="20"/>
                <w:szCs w:val="20"/>
              </w:rPr>
              <w:t xml:space="preserve">Les contributeurs sont invités à faire part de leurs observations sur l’ensemble des solutions mobilisables susmentionnées, tant sur les solutions hertziennes (boucle locale radio, réseaux mobiles et technologies satellitaires) que sur les solutions passant par une évolution de la boucle locale du réseau de cuivre, en vue d’améliorer la couverture en débits et services dans les zones qui ne seraient pas encore couvertes par des déploiements </w:t>
            </w:r>
            <w:proofErr w:type="spellStart"/>
            <w:r w:rsidRPr="00A01AAF">
              <w:rPr>
                <w:rFonts w:ascii="Ebrima" w:eastAsia="Ebrima" w:hAnsi="Ebrima" w:cs="Ebrima"/>
                <w:b/>
                <w:color w:val="808080" w:themeColor="background1" w:themeShade="80"/>
                <w:sz w:val="20"/>
                <w:szCs w:val="20"/>
              </w:rPr>
              <w:t>FttH</w:t>
            </w:r>
            <w:proofErr w:type="spellEnd"/>
            <w:r w:rsidRPr="00A01AAF">
              <w:rPr>
                <w:rFonts w:ascii="Ebrima" w:eastAsia="Ebrima" w:hAnsi="Ebrima" w:cs="Ebrima"/>
                <w:b/>
                <w:color w:val="808080" w:themeColor="background1" w:themeShade="80"/>
                <w:sz w:val="20"/>
                <w:szCs w:val="20"/>
              </w:rPr>
              <w:t xml:space="preserve"> dans un horizon d’une dizaine d’années. Sur ce point, il sera particulièrement utile de porter à la connaissance de l’Autorité des informations plus précises sur les éléments suivants : </w:t>
            </w:r>
          </w:p>
          <w:p w:rsidR="001E3A61" w:rsidRPr="00A01AAF" w:rsidRDefault="009B37DB" w:rsidP="00485613">
            <w:pPr>
              <w:numPr>
                <w:ilvl w:val="0"/>
                <w:numId w:val="3"/>
              </w:numPr>
              <w:spacing w:before="0" w:line="276" w:lineRule="auto"/>
              <w:ind w:hanging="360"/>
              <w:contextualSpacing/>
              <w:rPr>
                <w:rFonts w:ascii="Ebrima" w:hAnsi="Ebrima"/>
                <w:b/>
                <w:color w:val="808080" w:themeColor="background1" w:themeShade="80"/>
                <w:sz w:val="20"/>
                <w:szCs w:val="20"/>
              </w:rPr>
            </w:pPr>
            <w:r w:rsidRPr="00A01AAF">
              <w:rPr>
                <w:rFonts w:ascii="Ebrima" w:eastAsia="Ebrima" w:hAnsi="Ebrima" w:cs="Ebrima"/>
                <w:b/>
                <w:color w:val="808080" w:themeColor="background1" w:themeShade="80"/>
                <w:sz w:val="20"/>
                <w:szCs w:val="20"/>
              </w:rPr>
              <w:t xml:space="preserve">les éventuelles perspectives d’évolution de ces solutions en matière de performance ; </w:t>
            </w:r>
          </w:p>
          <w:p w:rsidR="001E3A61" w:rsidRPr="00A01AAF" w:rsidRDefault="009B37DB" w:rsidP="00485613">
            <w:pPr>
              <w:numPr>
                <w:ilvl w:val="0"/>
                <w:numId w:val="3"/>
              </w:numPr>
              <w:spacing w:before="0" w:line="276" w:lineRule="auto"/>
              <w:ind w:hanging="360"/>
              <w:contextualSpacing/>
              <w:rPr>
                <w:rFonts w:ascii="Ebrima" w:hAnsi="Ebrima"/>
                <w:color w:val="808080" w:themeColor="background1" w:themeShade="80"/>
                <w:sz w:val="20"/>
                <w:szCs w:val="20"/>
              </w:rPr>
            </w:pPr>
            <w:r w:rsidRPr="00A01AAF">
              <w:rPr>
                <w:rFonts w:ascii="Ebrima" w:eastAsia="Ebrima" w:hAnsi="Ebrima" w:cs="Ebrima"/>
                <w:b/>
                <w:color w:val="808080" w:themeColor="background1" w:themeShade="80"/>
                <w:sz w:val="20"/>
                <w:szCs w:val="20"/>
              </w:rPr>
              <w:t>les performances réelles qui auraient pu être constatées sur le terrain (débit, continuité du service, etc.) ;</w:t>
            </w:r>
          </w:p>
          <w:p w:rsidR="001E3A61" w:rsidRPr="00A01AAF" w:rsidRDefault="009B37DB" w:rsidP="00485613">
            <w:pPr>
              <w:numPr>
                <w:ilvl w:val="0"/>
                <w:numId w:val="3"/>
              </w:numPr>
              <w:spacing w:before="0" w:line="276" w:lineRule="auto"/>
              <w:ind w:hanging="360"/>
              <w:contextualSpacing/>
              <w:rPr>
                <w:rFonts w:ascii="Ebrima" w:hAnsi="Ebrima"/>
                <w:b/>
                <w:color w:val="808080" w:themeColor="background1" w:themeShade="80"/>
                <w:sz w:val="20"/>
                <w:szCs w:val="20"/>
              </w:rPr>
            </w:pPr>
            <w:r w:rsidRPr="00A01AAF">
              <w:rPr>
                <w:rFonts w:ascii="Ebrima" w:eastAsia="Ebrima" w:hAnsi="Ebrima" w:cs="Ebrima"/>
                <w:b/>
                <w:color w:val="808080" w:themeColor="background1" w:themeShade="80"/>
                <w:sz w:val="20"/>
                <w:szCs w:val="20"/>
              </w:rPr>
              <w:t>la vitesse de mise en œuvre de ces solutions ;</w:t>
            </w:r>
          </w:p>
          <w:p w:rsidR="001E3A61" w:rsidRPr="00A01AAF" w:rsidRDefault="009B37DB" w:rsidP="00485613">
            <w:pPr>
              <w:numPr>
                <w:ilvl w:val="0"/>
                <w:numId w:val="3"/>
              </w:numPr>
              <w:spacing w:before="0" w:line="276" w:lineRule="auto"/>
              <w:ind w:hanging="360"/>
              <w:contextualSpacing/>
              <w:rPr>
                <w:rFonts w:ascii="Ebrima" w:hAnsi="Ebrima"/>
                <w:b/>
                <w:color w:val="808080" w:themeColor="background1" w:themeShade="80"/>
                <w:sz w:val="20"/>
                <w:szCs w:val="20"/>
              </w:rPr>
            </w:pPr>
            <w:r w:rsidRPr="00A01AAF">
              <w:rPr>
                <w:rFonts w:ascii="Ebrima" w:eastAsia="Ebrima" w:hAnsi="Ebrima" w:cs="Ebrima"/>
                <w:b/>
                <w:color w:val="808080" w:themeColor="background1" w:themeShade="80"/>
                <w:sz w:val="20"/>
                <w:szCs w:val="20"/>
              </w:rPr>
              <w:t xml:space="preserve">la pertinence de la solution pour un déploiement massif, et les plans de déploiement programmés le cas échéant ; </w:t>
            </w:r>
          </w:p>
          <w:p w:rsidR="001E3A61" w:rsidRPr="00A01AAF" w:rsidRDefault="009B37DB" w:rsidP="00485613">
            <w:pPr>
              <w:numPr>
                <w:ilvl w:val="0"/>
                <w:numId w:val="3"/>
              </w:numPr>
              <w:spacing w:before="0" w:line="276" w:lineRule="auto"/>
              <w:ind w:hanging="360"/>
              <w:contextualSpacing/>
              <w:rPr>
                <w:rFonts w:ascii="Ebrima" w:hAnsi="Ebrima"/>
                <w:b/>
                <w:color w:val="808080" w:themeColor="background1" w:themeShade="80"/>
                <w:sz w:val="20"/>
                <w:szCs w:val="20"/>
              </w:rPr>
            </w:pPr>
            <w:r w:rsidRPr="00A01AAF">
              <w:rPr>
                <w:rFonts w:ascii="Ebrima" w:eastAsia="Ebrima" w:hAnsi="Ebrima" w:cs="Ebrima"/>
                <w:b/>
                <w:color w:val="808080" w:themeColor="background1" w:themeShade="80"/>
                <w:sz w:val="20"/>
                <w:szCs w:val="20"/>
              </w:rPr>
              <w:t xml:space="preserve">la diversité des services et des offres de détails qui serait susceptible d’être proposée au moyen de ces solutions, par exemple la possibilité de mobiliser la solution pour proposer les offres de détails de différents opérateurs (FAI) proposant des services sur le territoire ; </w:t>
            </w:r>
          </w:p>
          <w:p w:rsidR="001E3A61" w:rsidRPr="00A01AAF" w:rsidRDefault="009B37DB" w:rsidP="00485613">
            <w:pPr>
              <w:numPr>
                <w:ilvl w:val="0"/>
                <w:numId w:val="3"/>
              </w:numPr>
              <w:spacing w:before="0" w:line="276" w:lineRule="auto"/>
              <w:ind w:hanging="360"/>
              <w:contextualSpacing/>
              <w:rPr>
                <w:rFonts w:ascii="Ebrima" w:hAnsi="Ebrima"/>
                <w:color w:val="808080" w:themeColor="background1" w:themeShade="80"/>
                <w:sz w:val="20"/>
                <w:szCs w:val="20"/>
              </w:rPr>
            </w:pPr>
            <w:r w:rsidRPr="00A01AAF">
              <w:rPr>
                <w:rFonts w:ascii="Ebrima" w:eastAsia="Ebrima" w:hAnsi="Ebrima" w:cs="Ebrima"/>
                <w:b/>
                <w:color w:val="808080" w:themeColor="background1" w:themeShade="80"/>
                <w:sz w:val="20"/>
                <w:szCs w:val="20"/>
              </w:rPr>
              <w:t xml:space="preserve">l’horizon de rentabilité de l’investissement. </w:t>
            </w:r>
          </w:p>
        </w:tc>
      </w:tr>
    </w:tbl>
    <w:p w:rsidR="001E3A61" w:rsidRPr="00A01AAF" w:rsidRDefault="009B37DB" w:rsidP="00485613">
      <w:pPr>
        <w:spacing w:after="120" w:line="276" w:lineRule="auto"/>
        <w:rPr>
          <w:rFonts w:ascii="Ebrima" w:hAnsi="Ebrima"/>
          <w:sz w:val="20"/>
          <w:szCs w:val="20"/>
        </w:rPr>
      </w:pPr>
      <w:r w:rsidRPr="00A01AAF">
        <w:rPr>
          <w:rFonts w:ascii="Ebrima" w:eastAsia="Ebrima" w:hAnsi="Ebrima" w:cs="Ebrima"/>
          <w:sz w:val="20"/>
          <w:szCs w:val="20"/>
        </w:rPr>
        <w:t xml:space="preserve">À cette question dédiée aux opérateurs, la FNCCR souhaite néanmoins répondre par l’importance de disposer d’un </w:t>
      </w:r>
      <w:r w:rsidRPr="006C02CC">
        <w:rPr>
          <w:rFonts w:ascii="Ebrima" w:eastAsia="Ebrima" w:hAnsi="Ebrima" w:cs="Ebrima"/>
          <w:b/>
          <w:sz w:val="20"/>
          <w:szCs w:val="20"/>
        </w:rPr>
        <w:t>mix technologique performant</w:t>
      </w:r>
      <w:r w:rsidRPr="00A01AAF">
        <w:rPr>
          <w:rFonts w:ascii="Ebrima" w:eastAsia="Ebrima" w:hAnsi="Ebrima" w:cs="Ebrima"/>
          <w:sz w:val="20"/>
          <w:szCs w:val="20"/>
        </w:rPr>
        <w:t xml:space="preserve">. En effet, le projet de décret relatif au service universel des communications électroniques introduit le principe de </w:t>
      </w:r>
      <w:r w:rsidRPr="00A01AAF">
        <w:rPr>
          <w:rFonts w:ascii="Ebrima" w:eastAsia="Ebrima" w:hAnsi="Ebrima" w:cs="Ebrima"/>
          <w:b/>
          <w:sz w:val="20"/>
          <w:szCs w:val="20"/>
        </w:rPr>
        <w:t>neutralité technologique</w:t>
      </w:r>
      <w:r w:rsidRPr="00A01AAF">
        <w:rPr>
          <w:rFonts w:ascii="Ebrima" w:eastAsia="Ebrima" w:hAnsi="Ebrima" w:cs="Ebrima"/>
          <w:sz w:val="20"/>
          <w:szCs w:val="20"/>
        </w:rPr>
        <w:t xml:space="preserve"> issu du droit européen qui implique de laisser à l’opérateur de service universel, dans le cadre de la prestation de raccordement au réseau téléphonique, le choix de la technologie la plus appropriée à la délivrance du service universel de la téléphonie fixe </w:t>
      </w:r>
      <w:r w:rsidRPr="00A01AAF">
        <w:rPr>
          <w:rFonts w:ascii="Ebrima" w:eastAsia="Ebrima" w:hAnsi="Ebrima" w:cs="Ebrima"/>
          <w:b/>
          <w:sz w:val="20"/>
          <w:szCs w:val="20"/>
        </w:rPr>
        <w:t>(cuivre, fibre, satellite, etc.).</w:t>
      </w:r>
    </w:p>
    <w:p w:rsidR="001E3A61" w:rsidRPr="00A01AAF" w:rsidRDefault="009B37DB" w:rsidP="00485613">
      <w:pPr>
        <w:spacing w:before="0" w:line="276" w:lineRule="auto"/>
        <w:rPr>
          <w:rFonts w:ascii="Ebrima" w:hAnsi="Ebrima"/>
          <w:sz w:val="20"/>
          <w:szCs w:val="20"/>
        </w:rPr>
      </w:pPr>
      <w:r w:rsidRPr="00A01AAF">
        <w:rPr>
          <w:rFonts w:ascii="Ebrima" w:eastAsia="Ebrima" w:hAnsi="Ebrima" w:cs="Ebrima"/>
          <w:sz w:val="20"/>
          <w:szCs w:val="20"/>
        </w:rPr>
        <w:t xml:space="preserve">Avec l’arrêt du RTC, le </w:t>
      </w:r>
      <w:r w:rsidR="006C02CC">
        <w:rPr>
          <w:rFonts w:ascii="Ebrima" w:eastAsia="Ebrima" w:hAnsi="Ebrima" w:cs="Ebrima"/>
          <w:sz w:val="20"/>
          <w:szCs w:val="20"/>
        </w:rPr>
        <w:t>service universel</w:t>
      </w:r>
      <w:r w:rsidRPr="00A01AAF">
        <w:rPr>
          <w:rFonts w:ascii="Ebrima" w:eastAsia="Ebrima" w:hAnsi="Ebrima" w:cs="Ebrima"/>
          <w:sz w:val="20"/>
          <w:szCs w:val="20"/>
        </w:rPr>
        <w:t xml:space="preserve"> téléphonie fixe devra passer, sur le cuivre comme sur la fibre, par une offre </w:t>
      </w:r>
      <w:proofErr w:type="spellStart"/>
      <w:r w:rsidRPr="00A01AAF">
        <w:rPr>
          <w:rFonts w:ascii="Ebrima" w:eastAsia="Ebrima" w:hAnsi="Ebrima" w:cs="Ebrima"/>
          <w:sz w:val="20"/>
          <w:szCs w:val="20"/>
        </w:rPr>
        <w:t>VoIP</w:t>
      </w:r>
      <w:proofErr w:type="spellEnd"/>
      <w:r w:rsidRPr="00A01AAF">
        <w:rPr>
          <w:rFonts w:ascii="Ebrima" w:eastAsia="Ebrima" w:hAnsi="Ebrima" w:cs="Ebrima"/>
          <w:sz w:val="20"/>
          <w:szCs w:val="20"/>
        </w:rPr>
        <w:t xml:space="preserve">, avec mise à disposition </w:t>
      </w:r>
      <w:proofErr w:type="gramStart"/>
      <w:r w:rsidRPr="00A01AAF">
        <w:rPr>
          <w:rFonts w:ascii="Ebrima" w:eastAsia="Ebrima" w:hAnsi="Ebrima" w:cs="Ebrima"/>
          <w:sz w:val="20"/>
          <w:szCs w:val="20"/>
        </w:rPr>
        <w:t>d’une</w:t>
      </w:r>
      <w:proofErr w:type="gramEnd"/>
      <w:r w:rsidRPr="00A01AAF">
        <w:rPr>
          <w:rFonts w:ascii="Ebrima" w:eastAsia="Ebrima" w:hAnsi="Ebrima" w:cs="Ebrima"/>
          <w:sz w:val="20"/>
          <w:szCs w:val="20"/>
        </w:rPr>
        <w:t xml:space="preserve"> box. S’agissant des cas extrêmes, le recours à des solutions hertziennes, notamment satellitaires</w:t>
      </w:r>
      <w:r w:rsidRPr="00A01AAF">
        <w:rPr>
          <w:rFonts w:ascii="Ebrima" w:eastAsia="Ebrima" w:hAnsi="Ebrima" w:cs="Ebrima"/>
          <w:sz w:val="20"/>
          <w:szCs w:val="20"/>
          <w:vertAlign w:val="superscript"/>
        </w:rPr>
        <w:footnoteReference w:id="2"/>
      </w:r>
      <w:r w:rsidRPr="00A01AAF">
        <w:rPr>
          <w:rFonts w:ascii="Ebrima" w:eastAsia="Ebrima" w:hAnsi="Ebrima" w:cs="Ebrima"/>
          <w:sz w:val="20"/>
          <w:szCs w:val="20"/>
        </w:rPr>
        <w:t>, seront donc autorisées, même si la qualité de service téléphonique pourrait en souffrir.</w:t>
      </w:r>
    </w:p>
    <w:p w:rsidR="001E3A61" w:rsidRPr="00A01AAF" w:rsidRDefault="009B37DB" w:rsidP="006C02CC">
      <w:pPr>
        <w:spacing w:line="276" w:lineRule="auto"/>
        <w:rPr>
          <w:rFonts w:ascii="Ebrima" w:hAnsi="Ebrima"/>
          <w:sz w:val="20"/>
          <w:szCs w:val="20"/>
        </w:rPr>
      </w:pPr>
      <w:r w:rsidRPr="00A01AAF">
        <w:rPr>
          <w:rFonts w:ascii="Ebrima" w:eastAsia="Ebrima" w:hAnsi="Ebrima" w:cs="Ebrima"/>
          <w:sz w:val="20"/>
          <w:szCs w:val="20"/>
        </w:rPr>
        <w:t>Cependant, la FNCCR souhaite que le recours à certaines technologies internet, en particulier le satellite</w:t>
      </w:r>
      <w:r w:rsidR="0049295F">
        <w:rPr>
          <w:rFonts w:ascii="Ebrima" w:eastAsia="Ebrima" w:hAnsi="Ebrima" w:cs="Ebrima"/>
          <w:sz w:val="20"/>
          <w:szCs w:val="20"/>
        </w:rPr>
        <w:t>, reste</w:t>
      </w:r>
      <w:r w:rsidRPr="00A01AAF">
        <w:rPr>
          <w:rFonts w:ascii="Ebrima" w:eastAsia="Ebrima" w:hAnsi="Ebrima" w:cs="Ebrima"/>
          <w:sz w:val="20"/>
          <w:szCs w:val="20"/>
        </w:rPr>
        <w:t xml:space="preserve"> une solution d’attente </w:t>
      </w:r>
      <w:r w:rsidR="0049295F">
        <w:rPr>
          <w:rFonts w:ascii="Ebrima" w:eastAsia="Ebrima" w:hAnsi="Ebrima" w:cs="Ebrima"/>
          <w:sz w:val="20"/>
          <w:szCs w:val="20"/>
        </w:rPr>
        <w:t xml:space="preserve">ou la solution indispensable à court terme pour </w:t>
      </w:r>
      <w:r w:rsidR="0049295F" w:rsidRPr="00A01AAF">
        <w:rPr>
          <w:rFonts w:ascii="Ebrima" w:eastAsia="Ebrima" w:hAnsi="Ebrima" w:cs="Ebrima"/>
          <w:sz w:val="20"/>
          <w:szCs w:val="20"/>
        </w:rPr>
        <w:t>satisfaire les cas extrêmes</w:t>
      </w:r>
      <w:r w:rsidRPr="00A01AAF">
        <w:rPr>
          <w:rFonts w:ascii="Ebrima" w:eastAsia="Ebrima" w:hAnsi="Ebrima" w:cs="Ebrima"/>
          <w:sz w:val="20"/>
          <w:szCs w:val="20"/>
        </w:rPr>
        <w:t xml:space="preserve"> </w:t>
      </w:r>
      <w:r w:rsidR="0049295F">
        <w:rPr>
          <w:rFonts w:ascii="Ebrima" w:eastAsia="Ebrima" w:hAnsi="Ebrima" w:cs="Ebrima"/>
          <w:sz w:val="20"/>
          <w:szCs w:val="20"/>
        </w:rPr>
        <w:t>(montagne</w:t>
      </w:r>
      <w:r w:rsidR="00C0275E">
        <w:rPr>
          <w:rFonts w:ascii="Ebrima" w:eastAsia="Ebrima" w:hAnsi="Ebrima" w:cs="Ebrima"/>
          <w:sz w:val="20"/>
          <w:szCs w:val="20"/>
        </w:rPr>
        <w:t>, grande ruralité</w:t>
      </w:r>
      <w:r w:rsidR="0049295F">
        <w:rPr>
          <w:rFonts w:ascii="Ebrima" w:eastAsia="Ebrima" w:hAnsi="Ebrima" w:cs="Ebrima"/>
          <w:sz w:val="20"/>
          <w:szCs w:val="20"/>
        </w:rPr>
        <w:t>). En moyenne par département, 5 à 10 milles prises satellitaires s</w:t>
      </w:r>
      <w:r w:rsidR="00C0275E">
        <w:rPr>
          <w:rFonts w:ascii="Ebrima" w:eastAsia="Ebrima" w:hAnsi="Ebrima" w:cs="Ebrima"/>
          <w:sz w:val="20"/>
          <w:szCs w:val="20"/>
        </w:rPr>
        <w:t>eraient nécessaires.</w:t>
      </w:r>
    </w:p>
    <w:tbl>
      <w:tblPr>
        <w:tblStyle w:val="afe"/>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053E2E" w:rsidRPr="00053E2E" w:rsidTr="00053E2E">
        <w:trPr>
          <w:trHeight w:val="1100"/>
        </w:trPr>
        <w:tc>
          <w:tcPr>
            <w:tcW w:w="1418" w:type="dxa"/>
            <w:vAlign w:val="center"/>
          </w:tcPr>
          <w:p w:rsidR="001E3A61" w:rsidRPr="00053E2E" w:rsidRDefault="009B37DB" w:rsidP="00485613">
            <w:pPr>
              <w:spacing w:before="0" w:line="276" w:lineRule="auto"/>
              <w:rPr>
                <w:rFonts w:ascii="Ebrima" w:hAnsi="Ebrima"/>
                <w:color w:val="808080" w:themeColor="background1" w:themeShade="80"/>
                <w:sz w:val="20"/>
                <w:szCs w:val="20"/>
              </w:rPr>
            </w:pPr>
            <w:r w:rsidRPr="00053E2E">
              <w:rPr>
                <w:rFonts w:ascii="Ebrima" w:eastAsia="Ebrima" w:hAnsi="Ebrima" w:cs="Ebrima"/>
                <w:b/>
                <w:color w:val="808080" w:themeColor="background1" w:themeShade="80"/>
                <w:sz w:val="20"/>
                <w:szCs w:val="20"/>
              </w:rPr>
              <w:t>Question 32</w:t>
            </w:r>
          </w:p>
        </w:tc>
        <w:tc>
          <w:tcPr>
            <w:tcW w:w="7706" w:type="dxa"/>
            <w:vAlign w:val="center"/>
          </w:tcPr>
          <w:p w:rsidR="001E3A61" w:rsidRPr="00053E2E" w:rsidRDefault="009B37DB" w:rsidP="00485613">
            <w:pPr>
              <w:spacing w:before="0" w:line="276" w:lineRule="auto"/>
              <w:rPr>
                <w:rFonts w:ascii="Ebrima" w:hAnsi="Ebrima"/>
                <w:color w:val="808080" w:themeColor="background1" w:themeShade="80"/>
                <w:sz w:val="20"/>
                <w:szCs w:val="20"/>
              </w:rPr>
            </w:pPr>
            <w:r w:rsidRPr="00053E2E">
              <w:rPr>
                <w:rFonts w:ascii="Ebrima" w:eastAsia="Ebrima" w:hAnsi="Ebrima" w:cs="Ebrima"/>
                <w:b/>
                <w:color w:val="808080" w:themeColor="background1" w:themeShade="80"/>
                <w:sz w:val="20"/>
                <w:szCs w:val="20"/>
              </w:rPr>
              <w:t xml:space="preserve">L’Autorité invite les acteurs à répondre directement à la consultation publique prochaine abordant les différentes utilisations possibles de plusieurs bandes de fréquences, notamment les bandes 3,5 GHz et 2,6 GHz TDD, ainsi que les modalités d’attribution d’autorisations le cas échéant. </w:t>
            </w:r>
          </w:p>
        </w:tc>
      </w:tr>
    </w:tbl>
    <w:p w:rsidR="001E3A61" w:rsidRPr="00A01AAF" w:rsidRDefault="00387AFC" w:rsidP="007367CD">
      <w:pPr>
        <w:spacing w:after="120" w:line="276" w:lineRule="auto"/>
        <w:rPr>
          <w:rFonts w:ascii="Ebrima" w:hAnsi="Ebrima"/>
          <w:sz w:val="20"/>
          <w:szCs w:val="20"/>
        </w:rPr>
      </w:pPr>
      <w:r>
        <w:rPr>
          <w:rFonts w:ascii="Ebrima" w:eastAsia="Ebrima" w:hAnsi="Ebrima" w:cs="Ebrima"/>
          <w:sz w:val="20"/>
          <w:szCs w:val="20"/>
        </w:rPr>
        <w:t>****</w:t>
      </w:r>
    </w:p>
    <w:tbl>
      <w:tblPr>
        <w:tblStyle w:val="aff"/>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053E2E" w:rsidRPr="00053E2E" w:rsidTr="00053E2E">
        <w:trPr>
          <w:trHeight w:val="680"/>
        </w:trPr>
        <w:tc>
          <w:tcPr>
            <w:tcW w:w="1418" w:type="dxa"/>
            <w:vAlign w:val="center"/>
          </w:tcPr>
          <w:p w:rsidR="001E3A61" w:rsidRPr="00053E2E" w:rsidRDefault="009B37DB" w:rsidP="00485613">
            <w:pPr>
              <w:spacing w:before="0" w:line="276" w:lineRule="auto"/>
              <w:rPr>
                <w:rFonts w:ascii="Ebrima" w:hAnsi="Ebrima"/>
                <w:color w:val="808080" w:themeColor="background1" w:themeShade="80"/>
                <w:sz w:val="20"/>
                <w:szCs w:val="20"/>
              </w:rPr>
            </w:pPr>
            <w:r w:rsidRPr="00053E2E">
              <w:rPr>
                <w:rFonts w:ascii="Ebrima" w:eastAsia="Ebrima" w:hAnsi="Ebrima" w:cs="Ebrima"/>
                <w:b/>
                <w:color w:val="808080" w:themeColor="background1" w:themeShade="80"/>
                <w:sz w:val="20"/>
                <w:szCs w:val="20"/>
              </w:rPr>
              <w:t>Question 33</w:t>
            </w:r>
          </w:p>
        </w:tc>
        <w:tc>
          <w:tcPr>
            <w:tcW w:w="7706" w:type="dxa"/>
            <w:vAlign w:val="center"/>
          </w:tcPr>
          <w:p w:rsidR="001E3A61" w:rsidRPr="00053E2E" w:rsidRDefault="009B37DB" w:rsidP="00485613">
            <w:pPr>
              <w:spacing w:before="0" w:line="276" w:lineRule="auto"/>
              <w:rPr>
                <w:rFonts w:ascii="Ebrima" w:hAnsi="Ebrima"/>
                <w:color w:val="808080" w:themeColor="background1" w:themeShade="80"/>
                <w:sz w:val="20"/>
                <w:szCs w:val="20"/>
              </w:rPr>
            </w:pPr>
            <w:r w:rsidRPr="00053E2E">
              <w:rPr>
                <w:rFonts w:ascii="Ebrima" w:eastAsia="Ebrima" w:hAnsi="Ebrima" w:cs="Ebrima"/>
                <w:b/>
                <w:color w:val="808080" w:themeColor="background1" w:themeShade="80"/>
                <w:sz w:val="20"/>
                <w:szCs w:val="20"/>
              </w:rPr>
              <w:t xml:space="preserve">Les contributeurs sont invités à commenter la pertinence d’une mobilisation accrue des PRM spécifiques afin de se rapprocher de l’architecture </w:t>
            </w:r>
            <w:proofErr w:type="spellStart"/>
            <w:r w:rsidRPr="00053E2E">
              <w:rPr>
                <w:rFonts w:ascii="Ebrima" w:eastAsia="Ebrima" w:hAnsi="Ebrima" w:cs="Ebrima"/>
                <w:b/>
                <w:color w:val="808080" w:themeColor="background1" w:themeShade="80"/>
                <w:sz w:val="20"/>
                <w:szCs w:val="20"/>
              </w:rPr>
              <w:t>FttH</w:t>
            </w:r>
            <w:proofErr w:type="spellEnd"/>
            <w:r w:rsidRPr="00053E2E">
              <w:rPr>
                <w:rFonts w:ascii="Ebrima" w:eastAsia="Ebrima" w:hAnsi="Ebrima" w:cs="Ebrima"/>
                <w:b/>
                <w:color w:val="808080" w:themeColor="background1" w:themeShade="80"/>
                <w:sz w:val="20"/>
                <w:szCs w:val="20"/>
              </w:rPr>
              <w:t xml:space="preserve">. </w:t>
            </w:r>
          </w:p>
        </w:tc>
      </w:tr>
    </w:tbl>
    <w:p w:rsidR="001E3A61" w:rsidRPr="00A01AAF" w:rsidRDefault="009B37DB" w:rsidP="007367CD">
      <w:pPr>
        <w:spacing w:after="120" w:line="276" w:lineRule="auto"/>
        <w:rPr>
          <w:rFonts w:ascii="Ebrima" w:hAnsi="Ebrima"/>
          <w:sz w:val="20"/>
          <w:szCs w:val="20"/>
        </w:rPr>
      </w:pPr>
      <w:bookmarkStart w:id="3" w:name="_1fob9te" w:colFirst="0" w:colLast="0"/>
      <w:bookmarkEnd w:id="3"/>
      <w:r w:rsidRPr="00A01AAF">
        <w:rPr>
          <w:rFonts w:ascii="Ebrima" w:eastAsia="Ebrima" w:hAnsi="Ebrima" w:cs="Ebrima"/>
          <w:sz w:val="20"/>
          <w:szCs w:val="20"/>
        </w:rPr>
        <w:t>D’un point de vue technico-économique, la FNCCR agrée le principe des PRM spécifiques pour apporter le HD et le THD pour les zones très rurales. La FNCCR établit le lien entre cette proposition de PRM spécifiques avec le programme Orange Territoires connectés, communication d’Orange en date du 8 juin 2016</w:t>
      </w:r>
      <w:r w:rsidRPr="00A01AAF">
        <w:rPr>
          <w:rFonts w:ascii="Ebrima" w:eastAsia="Ebrima" w:hAnsi="Ebrima" w:cs="Ebrima"/>
          <w:sz w:val="20"/>
          <w:szCs w:val="20"/>
          <w:vertAlign w:val="superscript"/>
        </w:rPr>
        <w:footnoteReference w:id="3"/>
      </w:r>
      <w:r w:rsidRPr="00A01AAF">
        <w:rPr>
          <w:rFonts w:ascii="Ebrima" w:eastAsia="Ebrima" w:hAnsi="Ebrima" w:cs="Ebrima"/>
          <w:sz w:val="20"/>
          <w:szCs w:val="20"/>
        </w:rPr>
        <w:t>.</w:t>
      </w:r>
    </w:p>
    <w:p w:rsidR="001E3A61" w:rsidRPr="00A01AAF" w:rsidRDefault="009B37DB" w:rsidP="006C02CC">
      <w:pPr>
        <w:spacing w:before="0" w:line="276" w:lineRule="auto"/>
        <w:rPr>
          <w:rFonts w:ascii="Ebrima" w:hAnsi="Ebrima"/>
          <w:sz w:val="20"/>
          <w:szCs w:val="20"/>
        </w:rPr>
      </w:pPr>
      <w:r w:rsidRPr="00A01AAF">
        <w:rPr>
          <w:rFonts w:ascii="Ebrima" w:eastAsia="Ebrima" w:hAnsi="Ebrima" w:cs="Ebrima"/>
          <w:sz w:val="20"/>
          <w:szCs w:val="20"/>
        </w:rPr>
        <w:t>Dans les territoires en ZMD laissés à la charge des collectivités territoriales, Orange, s’il n’opère pas un RIP, a d’ores-et-déjà mis en œuvre une politique concurrentielle fondée sur les offres ADSL2+, VDSL (avec ou sans réaménagement de la sous-boucle) ou 4G/LTE fixe.</w:t>
      </w:r>
    </w:p>
    <w:p w:rsidR="001E3A61" w:rsidRPr="00A01AAF" w:rsidRDefault="009B37DB" w:rsidP="004661CA">
      <w:pPr>
        <w:spacing w:before="0" w:after="120" w:line="276" w:lineRule="auto"/>
        <w:rPr>
          <w:rFonts w:ascii="Ebrima" w:hAnsi="Ebrima"/>
          <w:sz w:val="20"/>
          <w:szCs w:val="20"/>
        </w:rPr>
      </w:pPr>
      <w:r w:rsidRPr="00A01AAF">
        <w:rPr>
          <w:rFonts w:ascii="Ebrima" w:eastAsia="Ebrima" w:hAnsi="Ebrima" w:cs="Ebrima"/>
          <w:sz w:val="20"/>
          <w:szCs w:val="20"/>
        </w:rPr>
        <w:t xml:space="preserve">Tout se passe comme si les PRM spécifiques sont présentés désormais comme des « pré-PM 300 » et non plus des SR cuivre réaménagés. Une question de point de vue </w:t>
      </w:r>
      <w:r w:rsidR="00BC1186">
        <w:rPr>
          <w:rFonts w:ascii="Ebrima" w:eastAsia="Ebrima" w:hAnsi="Ebrima" w:cs="Ebrima"/>
          <w:sz w:val="20"/>
          <w:szCs w:val="20"/>
        </w:rPr>
        <w:t xml:space="preserve">ou de sémantique </w:t>
      </w:r>
      <w:r w:rsidRPr="00A01AAF">
        <w:rPr>
          <w:rFonts w:ascii="Ebrima" w:eastAsia="Ebrima" w:hAnsi="Ebrima" w:cs="Ebrima"/>
          <w:sz w:val="20"/>
          <w:szCs w:val="20"/>
        </w:rPr>
        <w:t xml:space="preserve">sans doute, même si l’offre PRM, qu’elle que soit la décision finale de la Commission européenne sur le Plan France Très Haut Débit, reste </w:t>
      </w:r>
      <w:r w:rsidRPr="00A01AAF">
        <w:rPr>
          <w:rFonts w:ascii="Ebrima" w:eastAsia="Ebrima" w:hAnsi="Ebrima" w:cs="Ebrima"/>
          <w:b/>
          <w:sz w:val="20"/>
          <w:szCs w:val="20"/>
        </w:rPr>
        <w:t>une offre contrevenant aux règles des aides d’Etat.</w:t>
      </w:r>
    </w:p>
    <w:tbl>
      <w:tblPr>
        <w:tblStyle w:val="aff0"/>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053E2E" w:rsidRPr="00053E2E" w:rsidTr="00053E2E">
        <w:trPr>
          <w:trHeight w:val="1100"/>
        </w:trPr>
        <w:tc>
          <w:tcPr>
            <w:tcW w:w="1418" w:type="dxa"/>
            <w:vAlign w:val="center"/>
          </w:tcPr>
          <w:p w:rsidR="001E3A61" w:rsidRPr="00053E2E" w:rsidRDefault="009B37DB" w:rsidP="00485613">
            <w:pPr>
              <w:spacing w:before="0" w:line="276" w:lineRule="auto"/>
              <w:rPr>
                <w:rFonts w:ascii="Ebrima" w:hAnsi="Ebrima"/>
                <w:color w:val="808080" w:themeColor="background1" w:themeShade="80"/>
                <w:sz w:val="20"/>
                <w:szCs w:val="20"/>
              </w:rPr>
            </w:pPr>
            <w:r w:rsidRPr="00053E2E">
              <w:rPr>
                <w:rFonts w:ascii="Ebrima" w:eastAsia="Ebrima" w:hAnsi="Ebrima" w:cs="Ebrima"/>
                <w:b/>
                <w:color w:val="808080" w:themeColor="background1" w:themeShade="80"/>
                <w:sz w:val="20"/>
                <w:szCs w:val="20"/>
              </w:rPr>
              <w:t>Question 34</w:t>
            </w:r>
          </w:p>
        </w:tc>
        <w:tc>
          <w:tcPr>
            <w:tcW w:w="7706" w:type="dxa"/>
            <w:vAlign w:val="center"/>
          </w:tcPr>
          <w:p w:rsidR="001E3A61" w:rsidRPr="00053E2E" w:rsidRDefault="009B37DB" w:rsidP="00485613">
            <w:pPr>
              <w:spacing w:before="0" w:line="276" w:lineRule="auto"/>
              <w:rPr>
                <w:rFonts w:ascii="Ebrima" w:hAnsi="Ebrima"/>
                <w:color w:val="808080" w:themeColor="background1" w:themeShade="80"/>
                <w:sz w:val="20"/>
                <w:szCs w:val="20"/>
              </w:rPr>
            </w:pPr>
            <w:r w:rsidRPr="00053E2E">
              <w:rPr>
                <w:rFonts w:ascii="Ebrima" w:eastAsia="Ebrima" w:hAnsi="Ebrima" w:cs="Ebrima"/>
                <w:b/>
                <w:color w:val="808080" w:themeColor="background1" w:themeShade="80"/>
                <w:sz w:val="20"/>
                <w:szCs w:val="20"/>
              </w:rPr>
              <w:t xml:space="preserve">De manière générale, les contributeurs sont invités à se prononcer sur les moyens dont pourrait user l’ARCEP afin de participer à une meilleure mise en œuvre des solutions mobilisables en vue d’améliorer la couverture du territoire en débits et services fixes. </w:t>
            </w:r>
          </w:p>
        </w:tc>
      </w:tr>
    </w:tbl>
    <w:p w:rsidR="001E3A61" w:rsidRPr="00A01AAF" w:rsidRDefault="009B37DB" w:rsidP="007367CD">
      <w:pPr>
        <w:spacing w:after="120" w:line="276" w:lineRule="auto"/>
        <w:rPr>
          <w:rFonts w:ascii="Ebrima" w:hAnsi="Ebrima"/>
          <w:sz w:val="20"/>
          <w:szCs w:val="20"/>
        </w:rPr>
      </w:pPr>
      <w:r w:rsidRPr="006C02CC">
        <w:rPr>
          <w:rFonts w:ascii="Ebrima" w:eastAsia="Ebrima" w:hAnsi="Ebrima" w:cs="Ebrima"/>
          <w:b/>
          <w:color w:val="1A1A1A"/>
          <w:sz w:val="20"/>
          <w:szCs w:val="20"/>
        </w:rPr>
        <w:t>L’ARCEP dispose de pouvoirs de sanctions</w:t>
      </w:r>
      <w:r w:rsidRPr="00A01AAF">
        <w:rPr>
          <w:rFonts w:ascii="Ebrima" w:eastAsia="Ebrima" w:hAnsi="Ebrima" w:cs="Ebrima"/>
          <w:color w:val="1A1A1A"/>
          <w:sz w:val="20"/>
          <w:szCs w:val="20"/>
        </w:rPr>
        <w:t xml:space="preserve"> à l’égard des opérateurs abusant de leurs positions dominantes ou ne respectant pas leurs engagements. L’exemple le plus récent : au terme d'une procédure contradictoire, la formation de sanction de l’Autorité a décidé, le 28 juillet dernier, de prononcer une sanction financière de 27 000€ à l'encontre d'Orange, et de 380 000€ à l'encontre de SFR pour non-respect de l'échéance de leurs mises en demeure. Cela concerne le non-respect de leurs engagements à couvrir en 2G, avant le 1</w:t>
      </w:r>
      <w:r w:rsidRPr="00A01AAF">
        <w:rPr>
          <w:rFonts w:ascii="Ebrima" w:eastAsia="Ebrima" w:hAnsi="Ebrima" w:cs="Ebrima"/>
          <w:color w:val="1A1A1A"/>
          <w:sz w:val="20"/>
          <w:szCs w:val="20"/>
          <w:vertAlign w:val="superscript"/>
        </w:rPr>
        <w:t>er</w:t>
      </w:r>
      <w:r w:rsidRPr="00A01AAF">
        <w:rPr>
          <w:rFonts w:ascii="Ebrima" w:eastAsia="Ebrima" w:hAnsi="Ebrima" w:cs="Ebrima"/>
          <w:color w:val="1A1A1A"/>
          <w:sz w:val="20"/>
          <w:szCs w:val="20"/>
        </w:rPr>
        <w:t xml:space="preserve"> janvier 2016, des centres-bourgs identifiés dans le plan gouvernemental de résorption des zones blanches GSM.</w:t>
      </w:r>
    </w:p>
    <w:tbl>
      <w:tblPr>
        <w:tblStyle w:val="aff1"/>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053E2E" w:rsidRPr="00053E2E" w:rsidTr="00053E2E">
        <w:trPr>
          <w:trHeight w:val="1120"/>
        </w:trPr>
        <w:tc>
          <w:tcPr>
            <w:tcW w:w="1418" w:type="dxa"/>
            <w:vAlign w:val="center"/>
          </w:tcPr>
          <w:p w:rsidR="001E3A61" w:rsidRPr="00053E2E" w:rsidRDefault="009B37DB" w:rsidP="00485613">
            <w:pPr>
              <w:spacing w:before="0" w:line="276" w:lineRule="auto"/>
              <w:rPr>
                <w:rFonts w:ascii="Ebrima" w:hAnsi="Ebrima"/>
                <w:color w:val="808080" w:themeColor="background1" w:themeShade="80"/>
                <w:sz w:val="20"/>
                <w:szCs w:val="20"/>
              </w:rPr>
            </w:pPr>
            <w:r w:rsidRPr="00053E2E">
              <w:rPr>
                <w:rFonts w:ascii="Ebrima" w:eastAsia="Ebrima" w:hAnsi="Ebrima" w:cs="Ebrima"/>
                <w:b/>
                <w:color w:val="808080" w:themeColor="background1" w:themeShade="80"/>
                <w:sz w:val="20"/>
                <w:szCs w:val="20"/>
              </w:rPr>
              <w:t>Question 35</w:t>
            </w:r>
          </w:p>
        </w:tc>
        <w:tc>
          <w:tcPr>
            <w:tcW w:w="7706" w:type="dxa"/>
            <w:vAlign w:val="center"/>
          </w:tcPr>
          <w:p w:rsidR="001E3A61" w:rsidRPr="00053E2E" w:rsidRDefault="009B37DB" w:rsidP="00485613">
            <w:pPr>
              <w:spacing w:before="0" w:line="276" w:lineRule="auto"/>
              <w:rPr>
                <w:rFonts w:ascii="Ebrima" w:hAnsi="Ebrima"/>
                <w:color w:val="808080" w:themeColor="background1" w:themeShade="80"/>
                <w:sz w:val="20"/>
                <w:szCs w:val="20"/>
              </w:rPr>
            </w:pPr>
            <w:r w:rsidRPr="00053E2E">
              <w:rPr>
                <w:rFonts w:ascii="Ebrima" w:eastAsia="Ebrima" w:hAnsi="Ebrima" w:cs="Ebrima"/>
                <w:b/>
                <w:color w:val="808080" w:themeColor="background1" w:themeShade="80"/>
                <w:sz w:val="20"/>
                <w:szCs w:val="20"/>
              </w:rPr>
              <w:t xml:space="preserve">Les contributeurs sont invités à se prononcer sur l’adéquation de la structure tarifaire de l’offre de gros bitstream d’Orange à la fourniture dans la zone non dégroupée de services enrichis et à formuler, le cas échéant, des propositions d’évolution de cette structure. </w:t>
            </w:r>
          </w:p>
        </w:tc>
      </w:tr>
    </w:tbl>
    <w:p w:rsidR="001E3A61" w:rsidRPr="00A01AAF" w:rsidRDefault="009B37DB" w:rsidP="007367CD">
      <w:pPr>
        <w:spacing w:after="120" w:line="276" w:lineRule="auto"/>
        <w:rPr>
          <w:rFonts w:ascii="Ebrima" w:hAnsi="Ebrima"/>
          <w:sz w:val="20"/>
          <w:szCs w:val="20"/>
        </w:rPr>
      </w:pPr>
      <w:r w:rsidRPr="00A01AAF">
        <w:rPr>
          <w:rFonts w:ascii="Ebrima" w:eastAsia="Ebrima" w:hAnsi="Ebrima" w:cs="Ebrima"/>
          <w:sz w:val="20"/>
          <w:szCs w:val="20"/>
        </w:rPr>
        <w:t xml:space="preserve">La FNCCR rappelle simplement que l’enrichissement des services </w:t>
      </w:r>
      <w:r w:rsidR="00BC1186">
        <w:rPr>
          <w:rFonts w:ascii="Ebrima" w:eastAsia="Ebrima" w:hAnsi="Ebrima" w:cs="Ebrima"/>
          <w:sz w:val="20"/>
          <w:szCs w:val="20"/>
        </w:rPr>
        <w:t>délivrés par une connectivité</w:t>
      </w:r>
      <w:r w:rsidRPr="00A01AAF">
        <w:rPr>
          <w:rFonts w:ascii="Ebrima" w:eastAsia="Ebrima" w:hAnsi="Ebrima" w:cs="Ebrima"/>
          <w:sz w:val="20"/>
          <w:szCs w:val="20"/>
        </w:rPr>
        <w:t xml:space="preserve"> cuivre passe par une collecte optique. Est-ce que tous les NRA et SR réaménagés sont fibrés </w:t>
      </w:r>
      <w:r w:rsidR="00FC5C1D">
        <w:rPr>
          <w:rFonts w:ascii="Ebrima" w:eastAsia="Ebrima" w:hAnsi="Ebrima" w:cs="Ebrima"/>
          <w:sz w:val="20"/>
          <w:szCs w:val="20"/>
        </w:rPr>
        <w:t xml:space="preserve">à date </w:t>
      </w:r>
      <w:r w:rsidRPr="00A01AAF">
        <w:rPr>
          <w:rFonts w:ascii="Ebrima" w:eastAsia="Ebrima" w:hAnsi="Ebrima" w:cs="Ebrima"/>
          <w:sz w:val="20"/>
          <w:szCs w:val="20"/>
        </w:rPr>
        <w:t>?</w:t>
      </w:r>
      <w:r w:rsidR="00F851E8">
        <w:rPr>
          <w:rFonts w:ascii="Ebrima" w:eastAsia="Ebrima" w:hAnsi="Ebrima" w:cs="Ebrima"/>
          <w:sz w:val="20"/>
          <w:szCs w:val="20"/>
        </w:rPr>
        <w:t xml:space="preserve"> </w:t>
      </w:r>
      <w:r w:rsidR="00F851E8" w:rsidRPr="00F851E8">
        <w:rPr>
          <w:rFonts w:ascii="Ebrima" w:eastAsia="Ebrima" w:hAnsi="Ebrima" w:cs="Ebrima"/>
          <w:b/>
          <w:sz w:val="20"/>
          <w:szCs w:val="20"/>
        </w:rPr>
        <w:t>La FNCCR demande un retour statistique sur le fibrage des NRA et SR dans l’observatoire de l’Autorité.</w:t>
      </w:r>
    </w:p>
    <w:tbl>
      <w:tblPr>
        <w:tblStyle w:val="aff2"/>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053E2E" w:rsidRPr="00053E2E" w:rsidTr="00053E2E">
        <w:trPr>
          <w:trHeight w:val="400"/>
        </w:trPr>
        <w:tc>
          <w:tcPr>
            <w:tcW w:w="1418" w:type="dxa"/>
            <w:vAlign w:val="center"/>
          </w:tcPr>
          <w:p w:rsidR="001E3A61" w:rsidRPr="00053E2E" w:rsidRDefault="009B37DB" w:rsidP="00485613">
            <w:pPr>
              <w:spacing w:before="0" w:line="276" w:lineRule="auto"/>
              <w:rPr>
                <w:rFonts w:ascii="Ebrima" w:hAnsi="Ebrima"/>
                <w:color w:val="808080" w:themeColor="background1" w:themeShade="80"/>
                <w:sz w:val="20"/>
                <w:szCs w:val="20"/>
              </w:rPr>
            </w:pPr>
            <w:r w:rsidRPr="00053E2E">
              <w:rPr>
                <w:rFonts w:ascii="Ebrima" w:eastAsia="Ebrima" w:hAnsi="Ebrima" w:cs="Ebrima"/>
                <w:b/>
                <w:color w:val="808080" w:themeColor="background1" w:themeShade="80"/>
                <w:sz w:val="20"/>
                <w:szCs w:val="20"/>
              </w:rPr>
              <w:t>Question 36</w:t>
            </w:r>
          </w:p>
        </w:tc>
        <w:tc>
          <w:tcPr>
            <w:tcW w:w="7706" w:type="dxa"/>
            <w:vAlign w:val="center"/>
          </w:tcPr>
          <w:p w:rsidR="001E3A61" w:rsidRPr="00053E2E" w:rsidRDefault="009B37DB" w:rsidP="00485613">
            <w:pPr>
              <w:spacing w:before="0" w:line="276" w:lineRule="auto"/>
              <w:rPr>
                <w:rFonts w:ascii="Ebrima" w:hAnsi="Ebrima"/>
                <w:color w:val="808080" w:themeColor="background1" w:themeShade="80"/>
                <w:sz w:val="20"/>
                <w:szCs w:val="20"/>
              </w:rPr>
            </w:pPr>
            <w:r w:rsidRPr="00053E2E">
              <w:rPr>
                <w:rFonts w:ascii="Ebrima" w:eastAsia="Ebrima" w:hAnsi="Ebrima" w:cs="Ebrima"/>
                <w:b/>
                <w:color w:val="808080" w:themeColor="background1" w:themeShade="80"/>
                <w:sz w:val="20"/>
                <w:szCs w:val="20"/>
              </w:rPr>
              <w:t xml:space="preserve">Les acteurs sont invités à commenter l’analyse de l’Autorité. </w:t>
            </w:r>
          </w:p>
        </w:tc>
      </w:tr>
    </w:tbl>
    <w:p w:rsidR="001E3A61" w:rsidRPr="00A01AAF" w:rsidRDefault="009B37DB" w:rsidP="00485613">
      <w:pPr>
        <w:spacing w:before="0" w:line="276" w:lineRule="auto"/>
        <w:rPr>
          <w:rFonts w:ascii="Ebrima" w:hAnsi="Ebrima"/>
          <w:sz w:val="20"/>
          <w:szCs w:val="20"/>
        </w:rPr>
      </w:pPr>
      <w:r w:rsidRPr="00A01AAF">
        <w:rPr>
          <w:rFonts w:ascii="Ebrima" w:eastAsia="Ebrima" w:hAnsi="Ebrima" w:cs="Ebrima"/>
          <w:sz w:val="20"/>
          <w:szCs w:val="20"/>
        </w:rPr>
        <w:t>La FNCCR compte parmi ses adhérents des collectivités antillaises, de Martinique et de Guadeloupe, engagées dans l’aménagement numérique de leur territoire, qui ne constatent pas de baisse des tarifs, malgré une offre accrue de capacité sous-marine depuis 2 ou 3 ans.</w:t>
      </w:r>
    </w:p>
    <w:p w:rsidR="001E3A61" w:rsidRPr="00A01AAF" w:rsidRDefault="009B37DB" w:rsidP="00485613">
      <w:pPr>
        <w:spacing w:before="0" w:line="276" w:lineRule="auto"/>
        <w:rPr>
          <w:rFonts w:ascii="Ebrima" w:hAnsi="Ebrima"/>
          <w:sz w:val="20"/>
          <w:szCs w:val="20"/>
        </w:rPr>
      </w:pPr>
      <w:r w:rsidRPr="00A01AAF">
        <w:rPr>
          <w:rFonts w:ascii="Ebrima" w:eastAsia="Ebrima" w:hAnsi="Ebrima" w:cs="Ebrima"/>
          <w:sz w:val="20"/>
          <w:szCs w:val="20"/>
        </w:rPr>
        <w:t xml:space="preserve">La FNCCR n’est pas persuadée que l’application de l’article L.34-8-2-1 du CPCE issu de l’ordonnance </w:t>
      </w:r>
      <w:r w:rsidR="00F851E8">
        <w:rPr>
          <w:rFonts w:ascii="Ebrima" w:eastAsia="Ebrima" w:hAnsi="Ebrima" w:cs="Ebrima"/>
          <w:sz w:val="20"/>
          <w:szCs w:val="20"/>
        </w:rPr>
        <w:t>n°2016-526 du 28 avril 2016</w:t>
      </w:r>
      <w:r w:rsidRPr="00A01AAF">
        <w:rPr>
          <w:rFonts w:ascii="Ebrima" w:eastAsia="Ebrima" w:hAnsi="Ebrima" w:cs="Ebrima"/>
          <w:sz w:val="20"/>
          <w:szCs w:val="20"/>
        </w:rPr>
        <w:t xml:space="preserve"> soit de nature à induire des baisses </w:t>
      </w:r>
      <w:r w:rsidR="00820DF1">
        <w:rPr>
          <w:rFonts w:ascii="Ebrima" w:eastAsia="Ebrima" w:hAnsi="Ebrima" w:cs="Ebrima"/>
          <w:sz w:val="20"/>
          <w:szCs w:val="20"/>
        </w:rPr>
        <w:t xml:space="preserve">suffisantes </w:t>
      </w:r>
      <w:r w:rsidR="00F851E8">
        <w:rPr>
          <w:rFonts w:ascii="Ebrima" w:eastAsia="Ebrima" w:hAnsi="Ebrima" w:cs="Ebrima"/>
          <w:sz w:val="20"/>
          <w:szCs w:val="20"/>
        </w:rPr>
        <w:t>de tarifs</w:t>
      </w:r>
      <w:r w:rsidRPr="00A01AAF">
        <w:rPr>
          <w:rFonts w:ascii="Ebrima" w:eastAsia="Ebrima" w:hAnsi="Ebrima" w:cs="Ebrima"/>
          <w:sz w:val="20"/>
          <w:szCs w:val="20"/>
        </w:rPr>
        <w:t>, s’agissant de l’accès aux stations d’atterrissement et aux fourreaux du déport optique.</w:t>
      </w:r>
    </w:p>
    <w:p w:rsidR="001E3A61" w:rsidRPr="00A01AAF" w:rsidRDefault="009B37DB" w:rsidP="004661CA">
      <w:pPr>
        <w:spacing w:before="0" w:after="120" w:line="276" w:lineRule="auto"/>
        <w:rPr>
          <w:rFonts w:ascii="Ebrima" w:hAnsi="Ebrima"/>
          <w:sz w:val="20"/>
          <w:szCs w:val="20"/>
        </w:rPr>
      </w:pPr>
      <w:r w:rsidRPr="00A01AAF">
        <w:rPr>
          <w:rFonts w:ascii="Ebrima" w:eastAsia="Ebrima" w:hAnsi="Ebrima" w:cs="Ebrima"/>
          <w:b/>
          <w:sz w:val="20"/>
          <w:szCs w:val="20"/>
        </w:rPr>
        <w:t>D’une manière générale, au-delà de la situation ultra-marine évoquée ici, l’Autorité pourrait évaluer les effets tarifaires induits de l’application de cette ordonnance.</w:t>
      </w:r>
    </w:p>
    <w:p w:rsidR="001E3A61" w:rsidRPr="00A01AAF" w:rsidRDefault="009B37DB" w:rsidP="00485613">
      <w:pPr>
        <w:spacing w:before="0" w:line="276" w:lineRule="auto"/>
        <w:rPr>
          <w:rFonts w:ascii="Ebrima" w:hAnsi="Ebrima"/>
          <w:sz w:val="20"/>
          <w:szCs w:val="20"/>
        </w:rPr>
      </w:pPr>
      <w:r w:rsidRPr="00A01AAF">
        <w:rPr>
          <w:rFonts w:ascii="Ebrima" w:eastAsia="Ebrima" w:hAnsi="Ebrima" w:cs="Ebrima"/>
          <w:sz w:val="20"/>
          <w:szCs w:val="20"/>
        </w:rPr>
        <w:t xml:space="preserve">En conclusion, </w:t>
      </w:r>
      <w:r w:rsidRPr="00404D9F">
        <w:rPr>
          <w:rFonts w:ascii="Ebrima" w:eastAsia="Ebrima" w:hAnsi="Ebrima" w:cs="Ebrima"/>
          <w:b/>
          <w:sz w:val="20"/>
          <w:szCs w:val="20"/>
        </w:rPr>
        <w:t xml:space="preserve">la FNCCR ne souhaite pas la levée de la régulation asymétrique des services de capacité du segment interurbain interterritorial </w:t>
      </w:r>
      <w:r w:rsidRPr="00A01AAF">
        <w:rPr>
          <w:rFonts w:ascii="Ebrima" w:eastAsia="Ebrima" w:hAnsi="Ebrima" w:cs="Ebrima"/>
          <w:sz w:val="20"/>
          <w:szCs w:val="20"/>
        </w:rPr>
        <w:t>alors que les collectivités sont engagées dans des projets de RIP avec des acteurs français.</w:t>
      </w:r>
    </w:p>
    <w:p w:rsidR="001E3A61" w:rsidRPr="00A01AAF" w:rsidRDefault="009B37DB" w:rsidP="00485613">
      <w:pPr>
        <w:spacing w:line="276" w:lineRule="auto"/>
        <w:rPr>
          <w:rFonts w:ascii="Ebrima" w:hAnsi="Ebrima"/>
          <w:sz w:val="20"/>
          <w:szCs w:val="20"/>
        </w:rPr>
      </w:pPr>
      <w:r w:rsidRPr="00A01AAF">
        <w:rPr>
          <w:rFonts w:ascii="Ebrima" w:hAnsi="Ebrima"/>
          <w:sz w:val="20"/>
          <w:szCs w:val="20"/>
        </w:rPr>
        <w:br w:type="page"/>
      </w:r>
    </w:p>
    <w:p w:rsidR="001E3A61" w:rsidRDefault="009B37DB">
      <w:pPr>
        <w:pStyle w:val="Titre2"/>
      </w:pPr>
      <w:r>
        <w:t>Partie 5 :  Améliorer la fluidité du marché entreprises</w:t>
      </w:r>
    </w:p>
    <w:p w:rsidR="001E3A61" w:rsidRPr="00053E2E" w:rsidRDefault="009B37DB" w:rsidP="00FC5C1D">
      <w:pPr>
        <w:spacing w:after="120" w:line="276" w:lineRule="auto"/>
        <w:rPr>
          <w:rFonts w:ascii="Ebrima" w:hAnsi="Ebrima"/>
          <w:sz w:val="20"/>
          <w:szCs w:val="20"/>
        </w:rPr>
      </w:pPr>
      <w:r w:rsidRPr="00053E2E">
        <w:rPr>
          <w:rFonts w:ascii="Ebrima" w:eastAsia="Ebrima" w:hAnsi="Ebrima" w:cs="Ebrima"/>
          <w:sz w:val="20"/>
          <w:szCs w:val="20"/>
        </w:rPr>
        <w:t>La FNCCR n’a pas vocation à répondre à l’intégralité des questions de la 5</w:t>
      </w:r>
      <w:r w:rsidRPr="00053E2E">
        <w:rPr>
          <w:rFonts w:ascii="Ebrima" w:eastAsia="Ebrima" w:hAnsi="Ebrima" w:cs="Ebrima"/>
          <w:sz w:val="20"/>
          <w:szCs w:val="20"/>
          <w:vertAlign w:val="superscript"/>
        </w:rPr>
        <w:t>ème</w:t>
      </w:r>
      <w:r w:rsidRPr="00053E2E">
        <w:rPr>
          <w:rFonts w:ascii="Ebrima" w:eastAsia="Ebrima" w:hAnsi="Ebrima" w:cs="Ebrima"/>
          <w:sz w:val="20"/>
          <w:szCs w:val="20"/>
        </w:rPr>
        <w:t xml:space="preserve"> partie. Néanmoins, elle souhaite réagir à certaines thématiques après ses récentes contributions aux consultations publiques de l’Autorité sur le marché « entreprises ».</w:t>
      </w:r>
    </w:p>
    <w:tbl>
      <w:tblPr>
        <w:tblStyle w:val="aff3"/>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053E2E" w:rsidRPr="00053E2E" w:rsidTr="00053E2E">
        <w:trPr>
          <w:trHeight w:val="1120"/>
        </w:trPr>
        <w:tc>
          <w:tcPr>
            <w:tcW w:w="1418" w:type="dxa"/>
            <w:vAlign w:val="center"/>
          </w:tcPr>
          <w:p w:rsidR="001E3A61" w:rsidRPr="00053E2E" w:rsidRDefault="009B37DB" w:rsidP="00BC1186">
            <w:pPr>
              <w:spacing w:before="0" w:line="276" w:lineRule="auto"/>
              <w:rPr>
                <w:rFonts w:ascii="Ebrima" w:hAnsi="Ebrima"/>
                <w:color w:val="808080" w:themeColor="background1" w:themeShade="80"/>
                <w:sz w:val="20"/>
                <w:szCs w:val="20"/>
              </w:rPr>
            </w:pPr>
            <w:r w:rsidRPr="00053E2E">
              <w:rPr>
                <w:rFonts w:ascii="Ebrima" w:eastAsia="Ebrima" w:hAnsi="Ebrima" w:cs="Ebrima"/>
                <w:b/>
                <w:color w:val="808080" w:themeColor="background1" w:themeShade="80"/>
                <w:sz w:val="20"/>
                <w:szCs w:val="20"/>
              </w:rPr>
              <w:t>Question 37</w:t>
            </w:r>
          </w:p>
        </w:tc>
        <w:tc>
          <w:tcPr>
            <w:tcW w:w="7706" w:type="dxa"/>
            <w:vAlign w:val="center"/>
          </w:tcPr>
          <w:p w:rsidR="001E3A61" w:rsidRPr="00053E2E" w:rsidRDefault="009B37DB" w:rsidP="00BC1186">
            <w:pPr>
              <w:spacing w:before="0" w:line="276" w:lineRule="auto"/>
              <w:rPr>
                <w:rFonts w:ascii="Ebrima" w:hAnsi="Ebrima"/>
                <w:color w:val="808080" w:themeColor="background1" w:themeShade="80"/>
                <w:sz w:val="20"/>
                <w:szCs w:val="20"/>
              </w:rPr>
            </w:pPr>
            <w:r w:rsidRPr="00053E2E">
              <w:rPr>
                <w:rFonts w:ascii="Ebrima" w:eastAsia="Ebrima" w:hAnsi="Ebrima" w:cs="Ebrima"/>
                <w:b/>
                <w:color w:val="808080" w:themeColor="background1" w:themeShade="80"/>
                <w:sz w:val="20"/>
                <w:szCs w:val="20"/>
              </w:rPr>
              <w:t>Les acteurs sont invités à faire part de leurs observations sur les pistes envisagées par l’Autorité afin d’améliorer la qualité de service. Les acteurs sont également invités à se prononcer sur les autres indicateurs et moyens de renforcer la qualité de service qui leur sembleraient pertinents.</w:t>
            </w:r>
          </w:p>
        </w:tc>
      </w:tr>
    </w:tbl>
    <w:p w:rsidR="001E3A61" w:rsidRPr="00053E2E" w:rsidRDefault="009B37DB" w:rsidP="00BC1186">
      <w:pPr>
        <w:spacing w:line="276" w:lineRule="auto"/>
        <w:rPr>
          <w:rFonts w:ascii="Ebrima" w:hAnsi="Ebrima"/>
          <w:color w:val="808080" w:themeColor="background1" w:themeShade="80"/>
          <w:sz w:val="20"/>
          <w:szCs w:val="20"/>
        </w:rPr>
      </w:pPr>
      <w:r w:rsidRPr="00053E2E">
        <w:rPr>
          <w:rFonts w:ascii="Ebrima" w:eastAsia="Ebrima" w:hAnsi="Ebrima" w:cs="Ebrima"/>
          <w:color w:val="808080" w:themeColor="background1" w:themeShade="80"/>
          <w:sz w:val="20"/>
          <w:szCs w:val="20"/>
        </w:rPr>
        <w:t>***</w:t>
      </w:r>
    </w:p>
    <w:tbl>
      <w:tblPr>
        <w:tblStyle w:val="aff4"/>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053E2E" w:rsidRPr="00053E2E" w:rsidTr="00053E2E">
        <w:trPr>
          <w:trHeight w:val="960"/>
        </w:trPr>
        <w:tc>
          <w:tcPr>
            <w:tcW w:w="1418" w:type="dxa"/>
            <w:vAlign w:val="center"/>
          </w:tcPr>
          <w:p w:rsidR="001E3A61" w:rsidRPr="00053E2E" w:rsidRDefault="009B37DB" w:rsidP="00BC1186">
            <w:pPr>
              <w:spacing w:before="0" w:line="276" w:lineRule="auto"/>
              <w:rPr>
                <w:rFonts w:ascii="Ebrima" w:hAnsi="Ebrima"/>
                <w:color w:val="808080" w:themeColor="background1" w:themeShade="80"/>
                <w:sz w:val="20"/>
                <w:szCs w:val="20"/>
              </w:rPr>
            </w:pPr>
            <w:r w:rsidRPr="00053E2E">
              <w:rPr>
                <w:rFonts w:ascii="Ebrima" w:eastAsia="Ebrima" w:hAnsi="Ebrima" w:cs="Ebrima"/>
                <w:b/>
                <w:color w:val="808080" w:themeColor="background1" w:themeShade="80"/>
                <w:sz w:val="20"/>
                <w:szCs w:val="20"/>
              </w:rPr>
              <w:t>Question 38</w:t>
            </w:r>
          </w:p>
        </w:tc>
        <w:tc>
          <w:tcPr>
            <w:tcW w:w="7706" w:type="dxa"/>
            <w:vAlign w:val="center"/>
          </w:tcPr>
          <w:p w:rsidR="001E3A61" w:rsidRPr="00053E2E" w:rsidRDefault="009B37DB" w:rsidP="00BC1186">
            <w:pPr>
              <w:spacing w:before="0" w:line="276" w:lineRule="auto"/>
              <w:rPr>
                <w:rFonts w:ascii="Ebrima" w:hAnsi="Ebrima"/>
                <w:color w:val="808080" w:themeColor="background1" w:themeShade="80"/>
                <w:sz w:val="20"/>
                <w:szCs w:val="20"/>
              </w:rPr>
            </w:pPr>
            <w:r w:rsidRPr="00053E2E">
              <w:rPr>
                <w:rFonts w:ascii="Ebrima" w:eastAsia="Ebrima" w:hAnsi="Ebrima" w:cs="Ebrima"/>
                <w:b/>
                <w:color w:val="808080" w:themeColor="background1" w:themeShade="80"/>
                <w:sz w:val="20"/>
                <w:szCs w:val="20"/>
              </w:rPr>
              <w:t>Les acteurs sont invités à faire part de leurs observations sur les conditions d’encadrement des pénalités proposées par l’Autorité et sur tout autre élément qui leur semblerait pertinent en la matière.</w:t>
            </w:r>
          </w:p>
        </w:tc>
      </w:tr>
    </w:tbl>
    <w:p w:rsidR="001E3A61" w:rsidRPr="00053E2E" w:rsidRDefault="009B37DB" w:rsidP="00BC1186">
      <w:pPr>
        <w:spacing w:line="276" w:lineRule="auto"/>
        <w:rPr>
          <w:rFonts w:ascii="Ebrima" w:hAnsi="Ebrima"/>
          <w:color w:val="808080" w:themeColor="background1" w:themeShade="80"/>
          <w:sz w:val="20"/>
          <w:szCs w:val="20"/>
        </w:rPr>
      </w:pPr>
      <w:r w:rsidRPr="00053E2E">
        <w:rPr>
          <w:rFonts w:ascii="Ebrima" w:eastAsia="Ebrima" w:hAnsi="Ebrima" w:cs="Ebrima"/>
          <w:color w:val="808080" w:themeColor="background1" w:themeShade="80"/>
          <w:sz w:val="20"/>
          <w:szCs w:val="20"/>
        </w:rPr>
        <w:t>***</w:t>
      </w:r>
    </w:p>
    <w:tbl>
      <w:tblPr>
        <w:tblStyle w:val="aff5"/>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053E2E" w:rsidRPr="00053E2E" w:rsidTr="00053E2E">
        <w:trPr>
          <w:trHeight w:val="960"/>
        </w:trPr>
        <w:tc>
          <w:tcPr>
            <w:tcW w:w="1418" w:type="dxa"/>
            <w:vAlign w:val="center"/>
          </w:tcPr>
          <w:p w:rsidR="001E3A61" w:rsidRPr="00053E2E" w:rsidRDefault="009B37DB" w:rsidP="00BC1186">
            <w:pPr>
              <w:spacing w:before="0" w:line="276" w:lineRule="auto"/>
              <w:rPr>
                <w:rFonts w:ascii="Ebrima" w:hAnsi="Ebrima"/>
                <w:color w:val="808080" w:themeColor="background1" w:themeShade="80"/>
                <w:sz w:val="20"/>
                <w:szCs w:val="20"/>
              </w:rPr>
            </w:pPr>
            <w:r w:rsidRPr="00053E2E">
              <w:rPr>
                <w:rFonts w:ascii="Ebrima" w:eastAsia="Ebrima" w:hAnsi="Ebrima" w:cs="Ebrima"/>
                <w:b/>
                <w:color w:val="808080" w:themeColor="background1" w:themeShade="80"/>
                <w:sz w:val="20"/>
                <w:szCs w:val="20"/>
              </w:rPr>
              <w:t>Question 39</w:t>
            </w:r>
          </w:p>
        </w:tc>
        <w:tc>
          <w:tcPr>
            <w:tcW w:w="7706" w:type="dxa"/>
            <w:vAlign w:val="center"/>
          </w:tcPr>
          <w:p w:rsidR="001E3A61" w:rsidRPr="00053E2E" w:rsidRDefault="009B37DB" w:rsidP="00BC1186">
            <w:pPr>
              <w:spacing w:before="0" w:line="276" w:lineRule="auto"/>
              <w:rPr>
                <w:rFonts w:ascii="Ebrima" w:hAnsi="Ebrima"/>
                <w:color w:val="808080" w:themeColor="background1" w:themeShade="80"/>
                <w:sz w:val="20"/>
                <w:szCs w:val="20"/>
              </w:rPr>
            </w:pPr>
            <w:r w:rsidRPr="00053E2E">
              <w:rPr>
                <w:rFonts w:ascii="Ebrima" w:eastAsia="Ebrima" w:hAnsi="Ebrima" w:cs="Ebrima"/>
                <w:b/>
                <w:color w:val="808080" w:themeColor="background1" w:themeShade="80"/>
                <w:sz w:val="20"/>
                <w:szCs w:val="20"/>
              </w:rPr>
              <w:t>Les acteurs sont invités à faire part de leur intérêt et de leurs besoins en termes de CLA sur des cas non iso-paires, les accès dégroupés et les accès fibre et, le cas échéant, à préciser les caractéristiques attendues de cette prestation.</w:t>
            </w:r>
          </w:p>
        </w:tc>
      </w:tr>
    </w:tbl>
    <w:p w:rsidR="001E3A61" w:rsidRPr="00053E2E" w:rsidRDefault="009B37DB" w:rsidP="00BC1186">
      <w:pPr>
        <w:spacing w:line="276" w:lineRule="auto"/>
        <w:rPr>
          <w:rFonts w:ascii="Ebrima" w:hAnsi="Ebrima"/>
          <w:color w:val="808080" w:themeColor="background1" w:themeShade="80"/>
          <w:sz w:val="20"/>
          <w:szCs w:val="20"/>
        </w:rPr>
      </w:pPr>
      <w:r w:rsidRPr="00053E2E">
        <w:rPr>
          <w:rFonts w:ascii="Ebrima" w:eastAsia="Ebrima" w:hAnsi="Ebrima" w:cs="Ebrima"/>
          <w:color w:val="808080" w:themeColor="background1" w:themeShade="80"/>
          <w:sz w:val="20"/>
          <w:szCs w:val="20"/>
        </w:rPr>
        <w:t>***</w:t>
      </w:r>
    </w:p>
    <w:tbl>
      <w:tblPr>
        <w:tblStyle w:val="aff6"/>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053E2E" w:rsidRPr="00053E2E" w:rsidTr="00053E2E">
        <w:trPr>
          <w:trHeight w:val="820"/>
        </w:trPr>
        <w:tc>
          <w:tcPr>
            <w:tcW w:w="1418" w:type="dxa"/>
            <w:vAlign w:val="center"/>
          </w:tcPr>
          <w:p w:rsidR="001E3A61" w:rsidRPr="00053E2E" w:rsidRDefault="009B37DB" w:rsidP="00BC1186">
            <w:pPr>
              <w:spacing w:before="0" w:line="276" w:lineRule="auto"/>
              <w:rPr>
                <w:rFonts w:ascii="Ebrima" w:hAnsi="Ebrima"/>
                <w:color w:val="808080" w:themeColor="background1" w:themeShade="80"/>
                <w:sz w:val="20"/>
                <w:szCs w:val="20"/>
              </w:rPr>
            </w:pPr>
            <w:r w:rsidRPr="00053E2E">
              <w:rPr>
                <w:rFonts w:ascii="Ebrima" w:eastAsia="Ebrima" w:hAnsi="Ebrima" w:cs="Ebrima"/>
                <w:b/>
                <w:color w:val="808080" w:themeColor="background1" w:themeShade="80"/>
                <w:sz w:val="20"/>
                <w:szCs w:val="20"/>
              </w:rPr>
              <w:t>Question 40</w:t>
            </w:r>
          </w:p>
        </w:tc>
        <w:tc>
          <w:tcPr>
            <w:tcW w:w="7706" w:type="dxa"/>
            <w:vAlign w:val="center"/>
          </w:tcPr>
          <w:p w:rsidR="001E3A61" w:rsidRPr="00053E2E" w:rsidRDefault="009B37DB" w:rsidP="00BC1186">
            <w:pPr>
              <w:spacing w:before="0" w:line="276" w:lineRule="auto"/>
              <w:rPr>
                <w:rFonts w:ascii="Ebrima" w:hAnsi="Ebrima"/>
                <w:color w:val="808080" w:themeColor="background1" w:themeShade="80"/>
                <w:sz w:val="20"/>
                <w:szCs w:val="20"/>
              </w:rPr>
            </w:pPr>
            <w:r w:rsidRPr="00053E2E">
              <w:rPr>
                <w:rFonts w:ascii="Ebrima" w:eastAsia="Ebrima" w:hAnsi="Ebrima" w:cs="Ebrima"/>
                <w:b/>
                <w:color w:val="808080" w:themeColor="background1" w:themeShade="80"/>
                <w:sz w:val="20"/>
                <w:szCs w:val="20"/>
              </w:rPr>
              <w:t>Les acteurs sont invités à faire part de leur analyse concernant une telle prestation de migration « de masse » et à préciser, le cas échéant, leurs besoins et les caractéristiques attendues d’une telle prestation.</w:t>
            </w:r>
          </w:p>
        </w:tc>
      </w:tr>
    </w:tbl>
    <w:p w:rsidR="001E3A61" w:rsidRPr="00053E2E" w:rsidRDefault="009B37DB" w:rsidP="00BC1186">
      <w:pPr>
        <w:tabs>
          <w:tab w:val="left" w:pos="1665"/>
        </w:tabs>
        <w:spacing w:line="276" w:lineRule="auto"/>
        <w:rPr>
          <w:rFonts w:ascii="Ebrima" w:hAnsi="Ebrima"/>
          <w:sz w:val="20"/>
          <w:szCs w:val="20"/>
        </w:rPr>
      </w:pPr>
      <w:r w:rsidRPr="00053E2E">
        <w:rPr>
          <w:rFonts w:ascii="Ebrima" w:eastAsia="Ebrima" w:hAnsi="Ebrima" w:cs="Ebrima"/>
          <w:sz w:val="20"/>
          <w:szCs w:val="20"/>
        </w:rPr>
        <w:t>***</w:t>
      </w:r>
    </w:p>
    <w:tbl>
      <w:tblPr>
        <w:tblStyle w:val="aff7"/>
        <w:tblW w:w="9124"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418"/>
        <w:gridCol w:w="7706"/>
      </w:tblGrid>
      <w:tr w:rsidR="00053E2E" w:rsidRPr="00053E2E" w:rsidTr="00FC5C1D">
        <w:trPr>
          <w:trHeight w:val="1680"/>
        </w:trPr>
        <w:tc>
          <w:tcPr>
            <w:tcW w:w="1418" w:type="dxa"/>
            <w:vAlign w:val="center"/>
          </w:tcPr>
          <w:p w:rsidR="001E3A61" w:rsidRPr="00053E2E" w:rsidRDefault="009B37DB" w:rsidP="00BC1186">
            <w:pPr>
              <w:spacing w:before="0" w:line="276" w:lineRule="auto"/>
              <w:rPr>
                <w:rFonts w:ascii="Ebrima" w:hAnsi="Ebrima"/>
                <w:color w:val="808080" w:themeColor="background1" w:themeShade="80"/>
                <w:sz w:val="20"/>
                <w:szCs w:val="20"/>
              </w:rPr>
            </w:pPr>
            <w:r w:rsidRPr="00053E2E">
              <w:rPr>
                <w:rFonts w:ascii="Ebrima" w:eastAsia="Ebrima" w:hAnsi="Ebrima" w:cs="Ebrima"/>
                <w:b/>
                <w:color w:val="808080" w:themeColor="background1" w:themeShade="80"/>
                <w:sz w:val="20"/>
                <w:szCs w:val="20"/>
              </w:rPr>
              <w:t>Question 41</w:t>
            </w:r>
          </w:p>
        </w:tc>
        <w:tc>
          <w:tcPr>
            <w:tcW w:w="7706" w:type="dxa"/>
            <w:vAlign w:val="center"/>
          </w:tcPr>
          <w:p w:rsidR="001E3A61" w:rsidRPr="00053E2E" w:rsidRDefault="009B37DB" w:rsidP="00BC1186">
            <w:pPr>
              <w:spacing w:before="0" w:line="276" w:lineRule="auto"/>
              <w:rPr>
                <w:rFonts w:ascii="Ebrima" w:hAnsi="Ebrima"/>
                <w:color w:val="808080" w:themeColor="background1" w:themeShade="80"/>
                <w:sz w:val="20"/>
                <w:szCs w:val="20"/>
              </w:rPr>
            </w:pPr>
            <w:r w:rsidRPr="00053E2E">
              <w:rPr>
                <w:rFonts w:ascii="Ebrima" w:eastAsia="Ebrima" w:hAnsi="Ebrima" w:cs="Ebrima"/>
                <w:b/>
                <w:color w:val="808080" w:themeColor="background1" w:themeShade="80"/>
                <w:sz w:val="20"/>
                <w:szCs w:val="20"/>
              </w:rPr>
              <w:t xml:space="preserve">Les acteurs sont invités à commenter l’analyse de l’Autorité et à faire part de toute observation qu’ils jugeraient pertinente concernant les conditions de fermeture d’une offre spécifique entreprises sur cuivre. En outre, les acteurs sont également invités à partager les éventuels cas d’impossibilité de commande d’offres spécifiques entreprises sur cuivre qu’ils auraient pu être amenés à rencontrer. </w:t>
            </w:r>
          </w:p>
        </w:tc>
      </w:tr>
    </w:tbl>
    <w:p w:rsidR="001E3A61" w:rsidRPr="00053E2E" w:rsidRDefault="009B37DB" w:rsidP="007367CD">
      <w:pPr>
        <w:spacing w:after="120" w:line="276" w:lineRule="auto"/>
        <w:rPr>
          <w:rFonts w:ascii="Ebrima" w:hAnsi="Ebrima"/>
          <w:sz w:val="20"/>
          <w:szCs w:val="20"/>
        </w:rPr>
      </w:pPr>
      <w:r w:rsidRPr="00053E2E">
        <w:rPr>
          <w:rFonts w:ascii="Ebrima" w:eastAsia="Ebrima" w:hAnsi="Ebrima" w:cs="Ebrima"/>
          <w:sz w:val="20"/>
          <w:szCs w:val="20"/>
        </w:rPr>
        <w:t>La clôture des offres spécifiques entreprise sur cuivre (SDSL) peut effectivement intervenir dans les territoires couverts par un RIP 1G et rapidement, dans les zones fibrées.</w:t>
      </w:r>
    </w:p>
    <w:p w:rsidR="001E3A61" w:rsidRPr="00053E2E" w:rsidRDefault="009B37DB" w:rsidP="001369FB">
      <w:pPr>
        <w:spacing w:before="0" w:after="120" w:line="276" w:lineRule="auto"/>
        <w:rPr>
          <w:rFonts w:ascii="Ebrima" w:hAnsi="Ebrima"/>
          <w:sz w:val="20"/>
          <w:szCs w:val="20"/>
        </w:rPr>
      </w:pPr>
      <w:r w:rsidRPr="00053E2E">
        <w:rPr>
          <w:rFonts w:ascii="Ebrima" w:eastAsia="Ebrima" w:hAnsi="Ebrima" w:cs="Ebrima"/>
          <w:sz w:val="20"/>
          <w:szCs w:val="20"/>
        </w:rPr>
        <w:t>La FNCCR convient avec l’Autorité qu’il y a une vigilance à avoir dans les conditions de migration vers les services d’un autre opérateur, de manière à concurrencer la branche de détail d’Orange. La FNCCR rappelle que les opérateurs de proximité ciblant le marché « entreprises » sont concurrencé par les opérateurs intégrés, moins sur des questions tarifaires, que sur les conditions opérationnelles de mises en service (délais de livraison, etc.), en particulier lorsqu’ils opèrent eux-mêmes le réseau fibre mutualisé.</w:t>
      </w:r>
    </w:p>
    <w:tbl>
      <w:tblPr>
        <w:tblStyle w:val="aff8"/>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053E2E" w:rsidRPr="00053E2E" w:rsidTr="00053E2E">
        <w:trPr>
          <w:trHeight w:val="680"/>
        </w:trPr>
        <w:tc>
          <w:tcPr>
            <w:tcW w:w="1418" w:type="dxa"/>
            <w:vAlign w:val="center"/>
          </w:tcPr>
          <w:p w:rsidR="001E3A61" w:rsidRPr="00053E2E" w:rsidRDefault="009B37DB" w:rsidP="00BC1186">
            <w:pPr>
              <w:spacing w:before="0" w:line="276" w:lineRule="auto"/>
              <w:rPr>
                <w:rFonts w:ascii="Ebrima" w:hAnsi="Ebrima"/>
                <w:color w:val="808080" w:themeColor="background1" w:themeShade="80"/>
                <w:sz w:val="20"/>
                <w:szCs w:val="20"/>
              </w:rPr>
            </w:pPr>
            <w:r w:rsidRPr="00053E2E">
              <w:rPr>
                <w:rFonts w:ascii="Ebrima" w:eastAsia="Ebrima" w:hAnsi="Ebrima" w:cs="Ebrima"/>
                <w:b/>
                <w:color w:val="808080" w:themeColor="background1" w:themeShade="80"/>
                <w:sz w:val="20"/>
                <w:szCs w:val="20"/>
              </w:rPr>
              <w:t>Question 42</w:t>
            </w:r>
          </w:p>
        </w:tc>
        <w:tc>
          <w:tcPr>
            <w:tcW w:w="7706" w:type="dxa"/>
            <w:vAlign w:val="center"/>
          </w:tcPr>
          <w:p w:rsidR="001E3A61" w:rsidRPr="00053E2E" w:rsidRDefault="009B37DB" w:rsidP="00BC1186">
            <w:pPr>
              <w:spacing w:before="0" w:line="276" w:lineRule="auto"/>
              <w:rPr>
                <w:rFonts w:ascii="Ebrima" w:hAnsi="Ebrima"/>
                <w:color w:val="808080" w:themeColor="background1" w:themeShade="80"/>
                <w:sz w:val="20"/>
                <w:szCs w:val="20"/>
              </w:rPr>
            </w:pPr>
            <w:r w:rsidRPr="00053E2E">
              <w:rPr>
                <w:rFonts w:ascii="Ebrima" w:eastAsia="Ebrima" w:hAnsi="Ebrima" w:cs="Ebrima"/>
                <w:b/>
                <w:color w:val="808080" w:themeColor="background1" w:themeShade="80"/>
                <w:sz w:val="20"/>
                <w:szCs w:val="20"/>
              </w:rPr>
              <w:t xml:space="preserve">Les acteurs sont invités à se prononcer sur l’application d’une obligation de non-discrimination selon le principe d’équivalence des </w:t>
            </w:r>
            <w:proofErr w:type="spellStart"/>
            <w:r w:rsidRPr="00053E2E">
              <w:rPr>
                <w:rFonts w:ascii="Ebrima" w:eastAsia="Ebrima" w:hAnsi="Ebrima" w:cs="Ebrima"/>
                <w:b/>
                <w:color w:val="808080" w:themeColor="background1" w:themeShade="80"/>
                <w:sz w:val="20"/>
                <w:szCs w:val="20"/>
              </w:rPr>
              <w:t>intrans</w:t>
            </w:r>
            <w:proofErr w:type="spellEnd"/>
            <w:r w:rsidRPr="00053E2E">
              <w:rPr>
                <w:rFonts w:ascii="Ebrima" w:eastAsia="Ebrima" w:hAnsi="Ebrima" w:cs="Ebrima"/>
                <w:b/>
                <w:color w:val="808080" w:themeColor="background1" w:themeShade="80"/>
                <w:sz w:val="20"/>
                <w:szCs w:val="20"/>
              </w:rPr>
              <w:t>.</w:t>
            </w:r>
          </w:p>
        </w:tc>
      </w:tr>
    </w:tbl>
    <w:p w:rsidR="001E3A61" w:rsidRPr="00053E2E" w:rsidRDefault="009B37DB" w:rsidP="00BC1186">
      <w:pPr>
        <w:spacing w:line="276" w:lineRule="auto"/>
        <w:rPr>
          <w:rFonts w:ascii="Ebrima" w:hAnsi="Ebrima"/>
          <w:sz w:val="20"/>
          <w:szCs w:val="20"/>
        </w:rPr>
      </w:pPr>
      <w:r w:rsidRPr="00053E2E">
        <w:rPr>
          <w:rFonts w:ascii="Ebrima" w:eastAsia="Ebrima" w:hAnsi="Ebrima" w:cs="Ebrima"/>
          <w:sz w:val="20"/>
          <w:szCs w:val="20"/>
        </w:rPr>
        <w:t xml:space="preserve">La dynamisation du marché de services entreprises est l’enjeu face au </w:t>
      </w:r>
      <w:r w:rsidR="00820DF1">
        <w:rPr>
          <w:rFonts w:ascii="Ebrima" w:eastAsia="Ebrima" w:hAnsi="Ebrima" w:cs="Ebrima"/>
          <w:sz w:val="20"/>
          <w:szCs w:val="20"/>
        </w:rPr>
        <w:t xml:space="preserve">duopole dominé par </w:t>
      </w:r>
      <w:r w:rsidRPr="00053E2E">
        <w:rPr>
          <w:rFonts w:ascii="Ebrima" w:eastAsia="Ebrima" w:hAnsi="Ebrima" w:cs="Ebrima"/>
          <w:sz w:val="20"/>
          <w:szCs w:val="20"/>
        </w:rPr>
        <w:t>l’opérateur historique.</w:t>
      </w:r>
    </w:p>
    <w:p w:rsidR="001E3A61" w:rsidRPr="00053E2E" w:rsidRDefault="009B37DB" w:rsidP="00BC1186">
      <w:pPr>
        <w:spacing w:line="276" w:lineRule="auto"/>
        <w:rPr>
          <w:rFonts w:ascii="Ebrima" w:hAnsi="Ebrima"/>
          <w:sz w:val="20"/>
          <w:szCs w:val="20"/>
        </w:rPr>
      </w:pPr>
      <w:r w:rsidRPr="00053E2E">
        <w:rPr>
          <w:rFonts w:ascii="Ebrima" w:eastAsia="Ebrima" w:hAnsi="Ebrima" w:cs="Ebrima"/>
          <w:sz w:val="20"/>
          <w:szCs w:val="20"/>
        </w:rPr>
        <w:t xml:space="preserve">En décembre 2015, Orange a été condamné par l’Autorité de la Concurrence à verser une amende record (350 M€) au motif, entre autres, de </w:t>
      </w:r>
      <w:r w:rsidRPr="00053E2E">
        <w:rPr>
          <w:rFonts w:ascii="Ebrima" w:eastAsia="Ebrima" w:hAnsi="Ebrima" w:cs="Ebrima"/>
          <w:b/>
          <w:sz w:val="20"/>
          <w:szCs w:val="20"/>
        </w:rPr>
        <w:t>discrimination</w:t>
      </w:r>
      <w:r w:rsidRPr="00053E2E">
        <w:rPr>
          <w:rFonts w:ascii="Ebrima" w:eastAsia="Ebrima" w:hAnsi="Ebrima" w:cs="Ebrima"/>
          <w:sz w:val="20"/>
          <w:szCs w:val="20"/>
        </w:rPr>
        <w:t xml:space="preserve"> (en concurrence) envers d’autres opérateurs pour les services liés à l‘internet fixe, dont le marché des télécoms d’entreprise (10 à 12 Mds €/an). La pratique discriminatoire condamnée est le refus opposé à des opérateurs de détail alternatifs, dépendants de l’offre de gros d’Orange, d’avoir (1) accès à certains segments du marché et (2) à des prix corrects. Ces opérateurs alternatifs souhaitent avoir accès aux offres entreprises sur fibres (BLOD, traitée ici, et plus tard BLOM), </w:t>
      </w:r>
      <w:r w:rsidRPr="00053E2E">
        <w:rPr>
          <w:rFonts w:ascii="Ebrima" w:eastAsia="Ebrima" w:hAnsi="Ebrima" w:cs="Ebrima"/>
          <w:b/>
          <w:sz w:val="20"/>
          <w:szCs w:val="20"/>
        </w:rPr>
        <w:t>dans les mêmes conditions tarifaires qu’Orange Business Services (OBS)</w:t>
      </w:r>
      <w:r w:rsidRPr="00053E2E">
        <w:rPr>
          <w:rFonts w:ascii="Ebrima" w:eastAsia="Ebrima" w:hAnsi="Ebrima" w:cs="Ebrima"/>
          <w:sz w:val="20"/>
          <w:szCs w:val="20"/>
        </w:rPr>
        <w:t xml:space="preserve">, la </w:t>
      </w:r>
      <w:r w:rsidRPr="009265FD">
        <w:rPr>
          <w:rFonts w:ascii="Ebrima" w:eastAsia="Ebrima" w:hAnsi="Ebrima" w:cs="Ebrima"/>
          <w:i/>
          <w:sz w:val="20"/>
          <w:szCs w:val="20"/>
        </w:rPr>
        <w:t>business unit</w:t>
      </w:r>
      <w:r w:rsidRPr="00053E2E">
        <w:rPr>
          <w:rFonts w:ascii="Ebrima" w:eastAsia="Ebrima" w:hAnsi="Ebrima" w:cs="Ebrima"/>
          <w:sz w:val="20"/>
          <w:szCs w:val="20"/>
        </w:rPr>
        <w:t xml:space="preserve"> du marché de détail « entreprises » de l’opérateur historique.</w:t>
      </w:r>
    </w:p>
    <w:p w:rsidR="001E3A61" w:rsidRPr="00053E2E" w:rsidRDefault="009B37DB" w:rsidP="00BC1186">
      <w:pPr>
        <w:spacing w:line="276" w:lineRule="auto"/>
        <w:rPr>
          <w:rFonts w:ascii="Ebrima" w:hAnsi="Ebrima"/>
          <w:sz w:val="20"/>
          <w:szCs w:val="20"/>
        </w:rPr>
      </w:pPr>
      <w:r w:rsidRPr="00053E2E">
        <w:rPr>
          <w:rFonts w:ascii="Ebrima" w:eastAsia="Ebrima" w:hAnsi="Ebrima" w:cs="Ebrima"/>
          <w:sz w:val="20"/>
          <w:szCs w:val="20"/>
        </w:rPr>
        <w:t xml:space="preserve">La FNCCR souhaite rappeler à cette occasion que les RIP 1G ou 2G lesquels disposent souvent dans leur catalogue de services d’offres visant le marché « entreprises » quand ils ne sont pas des opérateurs de gros du marché « entreprises » (réseau IMT de Toulouse Métropole, SEQUANTIC du SIPPEREC, projet RIP du Grand Lyon, etc.).  C’est l’occasion également de rappeler l’essor, dès 2006, d’opérateurs locaux, clients des premiers RIP 1G, beaucoup d’entre eux ciblant le marché « entreprises ». On citera notamment ADISTA, Option Service, etc., lesquels ont étendu depuis leur rayonnement sur plusieurs départements, voire à l’échelle nationale. </w:t>
      </w:r>
    </w:p>
    <w:p w:rsidR="001E3A61" w:rsidRPr="00053E2E" w:rsidRDefault="009B37DB" w:rsidP="001369FB">
      <w:pPr>
        <w:spacing w:after="120" w:line="276" w:lineRule="auto"/>
        <w:rPr>
          <w:rFonts w:ascii="Ebrima" w:hAnsi="Ebrima"/>
          <w:sz w:val="20"/>
          <w:szCs w:val="20"/>
        </w:rPr>
      </w:pPr>
      <w:r w:rsidRPr="00053E2E">
        <w:rPr>
          <w:rFonts w:ascii="Ebrima" w:eastAsia="Ebrima" w:hAnsi="Ebrima" w:cs="Ebrima"/>
          <w:sz w:val="20"/>
          <w:szCs w:val="20"/>
        </w:rPr>
        <w:t>La FNCCR se félicite de la réaction de l’Autorité quant à appliquer dès 2017 l’équivalence des intrants (EoI), recommandée par la Commission européenne et que les récentes condamnations d’Orange viennent de rendre plus prégnantes. La FNCCR souligne que l’EoI s’impose aux RIP, l’essence même du service public étant l’égalité de traitement, l’ouverture, la neutralité et la non-discrimination. S’agissant du marché de gros « entreprises », il ne saurait y avoir de distinction entre l’opérateur historique et les RIP.</w:t>
      </w:r>
    </w:p>
    <w:tbl>
      <w:tblPr>
        <w:tblStyle w:val="aff9"/>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053E2E" w:rsidRPr="00053E2E" w:rsidTr="00053E2E">
        <w:trPr>
          <w:trHeight w:val="1960"/>
        </w:trPr>
        <w:tc>
          <w:tcPr>
            <w:tcW w:w="1418" w:type="dxa"/>
            <w:vAlign w:val="center"/>
          </w:tcPr>
          <w:p w:rsidR="001E3A61" w:rsidRPr="00053E2E" w:rsidRDefault="009B37DB" w:rsidP="00BC1186">
            <w:pPr>
              <w:spacing w:before="0" w:line="276" w:lineRule="auto"/>
              <w:rPr>
                <w:rFonts w:ascii="Ebrima" w:hAnsi="Ebrima"/>
                <w:color w:val="808080" w:themeColor="background1" w:themeShade="80"/>
                <w:sz w:val="20"/>
                <w:szCs w:val="20"/>
              </w:rPr>
            </w:pPr>
            <w:r w:rsidRPr="00053E2E">
              <w:rPr>
                <w:rFonts w:ascii="Ebrima" w:eastAsia="Ebrima" w:hAnsi="Ebrima" w:cs="Ebrima"/>
                <w:b/>
                <w:color w:val="808080" w:themeColor="background1" w:themeShade="80"/>
                <w:sz w:val="20"/>
                <w:szCs w:val="20"/>
              </w:rPr>
              <w:t>Question 43</w:t>
            </w:r>
          </w:p>
        </w:tc>
        <w:tc>
          <w:tcPr>
            <w:tcW w:w="7706" w:type="dxa"/>
            <w:vAlign w:val="center"/>
          </w:tcPr>
          <w:p w:rsidR="001E3A61" w:rsidRPr="00053E2E" w:rsidRDefault="009B37DB" w:rsidP="00BC1186">
            <w:pPr>
              <w:spacing w:before="0" w:line="276" w:lineRule="auto"/>
              <w:rPr>
                <w:rFonts w:ascii="Ebrima" w:hAnsi="Ebrima"/>
                <w:color w:val="808080" w:themeColor="background1" w:themeShade="80"/>
                <w:sz w:val="20"/>
                <w:szCs w:val="20"/>
              </w:rPr>
            </w:pPr>
            <w:r w:rsidRPr="00053E2E">
              <w:rPr>
                <w:rFonts w:ascii="Ebrima" w:eastAsia="Ebrima" w:hAnsi="Ebrima" w:cs="Ebrima"/>
                <w:b/>
                <w:color w:val="808080" w:themeColor="background1" w:themeShade="80"/>
                <w:sz w:val="20"/>
                <w:szCs w:val="20"/>
              </w:rPr>
              <w:t xml:space="preserve">Les acteurs sont invités à faire part de leurs observations sur les pistes d’adaptation de la régulation tarifaire des offres activées sur fibre évoquées par l’Autorité. En particulier, les acteurs pensent-ils que la période transitoire de protection des investissements sur les réseaux mutualisés est nécessaire, et si oui, quels devraient en être les modalités ? Par ailleurs, les acteurs identifient-ils le besoin de distinguer de nouvelles zones ou d’autres critères pour la définition des zones de régulation tarifaire ? </w:t>
            </w:r>
          </w:p>
        </w:tc>
      </w:tr>
    </w:tbl>
    <w:p w:rsidR="001E3A61" w:rsidRPr="00053E2E" w:rsidRDefault="009B37DB" w:rsidP="001369FB">
      <w:pPr>
        <w:spacing w:after="120" w:line="276" w:lineRule="auto"/>
        <w:rPr>
          <w:rFonts w:ascii="Ebrima" w:hAnsi="Ebrima"/>
          <w:sz w:val="20"/>
          <w:szCs w:val="20"/>
        </w:rPr>
      </w:pPr>
      <w:r w:rsidRPr="00053E2E">
        <w:rPr>
          <w:rFonts w:ascii="Ebrima" w:eastAsia="Ebrima" w:hAnsi="Ebrima" w:cs="Ebrima"/>
          <w:sz w:val="20"/>
          <w:szCs w:val="20"/>
        </w:rPr>
        <w:t>La FNCCR est favorable à la période transitoire de protection des investissements des opérateurs alternatifs sur les réseaux mutualisés avant l’affectation des communes desservies en ZF1 (aucune régulation tarifaire). En effet, les opérateurs alternatifs, de proximité en général, ont investi dans ses réseaux mutualisés, des RIP notamment, en construisant une interconnexion avec leurs propres réseaux ou en acquérant des droits d’usag</w:t>
      </w:r>
      <w:r w:rsidR="00DF68FC">
        <w:rPr>
          <w:rFonts w:ascii="Ebrima" w:eastAsia="Ebrima" w:hAnsi="Ebrima" w:cs="Ebrima"/>
          <w:sz w:val="20"/>
          <w:szCs w:val="20"/>
        </w:rPr>
        <w:t>e indéfectibles sur de la fibre.</w:t>
      </w:r>
    </w:p>
    <w:tbl>
      <w:tblPr>
        <w:tblStyle w:val="affa"/>
        <w:tblW w:w="9124"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7706"/>
      </w:tblGrid>
      <w:tr w:rsidR="00053E2E" w:rsidRPr="00053E2E" w:rsidTr="00053E2E">
        <w:trPr>
          <w:trHeight w:val="700"/>
        </w:trPr>
        <w:tc>
          <w:tcPr>
            <w:tcW w:w="1418" w:type="dxa"/>
            <w:vAlign w:val="center"/>
          </w:tcPr>
          <w:p w:rsidR="001E3A61" w:rsidRPr="00053E2E" w:rsidRDefault="009B37DB" w:rsidP="00BC1186">
            <w:pPr>
              <w:spacing w:before="0" w:line="276" w:lineRule="auto"/>
              <w:rPr>
                <w:rFonts w:ascii="Ebrima" w:hAnsi="Ebrima"/>
                <w:color w:val="808080" w:themeColor="background1" w:themeShade="80"/>
                <w:sz w:val="20"/>
                <w:szCs w:val="20"/>
              </w:rPr>
            </w:pPr>
            <w:r w:rsidRPr="00053E2E">
              <w:rPr>
                <w:rFonts w:ascii="Ebrima" w:eastAsia="Ebrima" w:hAnsi="Ebrima" w:cs="Ebrima"/>
                <w:b/>
                <w:color w:val="808080" w:themeColor="background1" w:themeShade="80"/>
                <w:sz w:val="20"/>
                <w:szCs w:val="20"/>
              </w:rPr>
              <w:t>Question 44</w:t>
            </w:r>
          </w:p>
        </w:tc>
        <w:tc>
          <w:tcPr>
            <w:tcW w:w="7706" w:type="dxa"/>
            <w:vAlign w:val="center"/>
          </w:tcPr>
          <w:p w:rsidR="001E3A61" w:rsidRPr="00053E2E" w:rsidRDefault="009B37DB" w:rsidP="00BC1186">
            <w:pPr>
              <w:spacing w:before="0" w:line="276" w:lineRule="auto"/>
              <w:rPr>
                <w:rFonts w:ascii="Ebrima" w:hAnsi="Ebrima"/>
                <w:color w:val="808080" w:themeColor="background1" w:themeShade="80"/>
                <w:sz w:val="20"/>
                <w:szCs w:val="20"/>
              </w:rPr>
            </w:pPr>
            <w:r w:rsidRPr="00053E2E">
              <w:rPr>
                <w:rFonts w:ascii="Ebrima" w:eastAsia="Ebrima" w:hAnsi="Ebrima" w:cs="Ebrima"/>
                <w:b/>
                <w:color w:val="808080" w:themeColor="background1" w:themeShade="80"/>
                <w:sz w:val="20"/>
                <w:szCs w:val="20"/>
              </w:rPr>
              <w:t>Les acteurs sont invités à faire part de leurs observations sur les évolutions de la régulation tarifaire exposées par l’Autorité.</w:t>
            </w:r>
          </w:p>
        </w:tc>
      </w:tr>
    </w:tbl>
    <w:p w:rsidR="001E3A61" w:rsidRPr="00053E2E" w:rsidRDefault="009B37DB" w:rsidP="007367CD">
      <w:pPr>
        <w:spacing w:after="120" w:line="276" w:lineRule="auto"/>
        <w:rPr>
          <w:rFonts w:ascii="Ebrima" w:hAnsi="Ebrima"/>
          <w:sz w:val="20"/>
          <w:szCs w:val="20"/>
        </w:rPr>
      </w:pPr>
      <w:r w:rsidRPr="00053E2E">
        <w:rPr>
          <w:rFonts w:ascii="Ebrima" w:eastAsia="Ebrima" w:hAnsi="Ebrima" w:cs="Ebrima"/>
          <w:sz w:val="20"/>
          <w:szCs w:val="20"/>
        </w:rPr>
        <w:t>La FNCCR regrette que le calendrier prévisionnel figurant dans le texte de la consultation de mai 2016 sur la modélisation des coûts de la BLOD n’ait pu être respecté, puisque cette étude impacte la définition des zones d’encadrement tarifaire ZF1 et ZF2.</w:t>
      </w:r>
    </w:p>
    <w:p w:rsidR="001E3A61" w:rsidRPr="00053E2E" w:rsidRDefault="009B37DB" w:rsidP="00BC1186">
      <w:pPr>
        <w:spacing w:before="0" w:line="276" w:lineRule="auto"/>
        <w:rPr>
          <w:rFonts w:ascii="Ebrima" w:hAnsi="Ebrima"/>
          <w:sz w:val="20"/>
          <w:szCs w:val="20"/>
        </w:rPr>
      </w:pPr>
      <w:r w:rsidRPr="00053E2E">
        <w:rPr>
          <w:rFonts w:ascii="Ebrima" w:eastAsia="Ebrima" w:hAnsi="Ebrima" w:cs="Ebrima"/>
          <w:sz w:val="20"/>
          <w:szCs w:val="20"/>
        </w:rPr>
        <w:t>À la lecture des principes des critères de régression, la FNCCR s’interroge sur l’opportunité d’introduire une ZF3.</w:t>
      </w:r>
    </w:p>
    <w:p w:rsidR="001E3A61" w:rsidRPr="00053E2E" w:rsidRDefault="009B37DB" w:rsidP="00BC1186">
      <w:pPr>
        <w:spacing w:line="276" w:lineRule="auto"/>
        <w:jc w:val="center"/>
        <w:rPr>
          <w:rFonts w:ascii="Ebrima" w:hAnsi="Ebrima"/>
          <w:sz w:val="20"/>
          <w:szCs w:val="20"/>
        </w:rPr>
      </w:pPr>
      <w:r w:rsidRPr="00053E2E">
        <w:rPr>
          <w:rFonts w:ascii="Ebrima" w:eastAsia="Ebrima" w:hAnsi="Ebrima" w:cs="Ebrima"/>
          <w:sz w:val="20"/>
          <w:szCs w:val="20"/>
        </w:rPr>
        <w:t>Fin du document</w:t>
      </w:r>
    </w:p>
    <w:sectPr w:rsidR="001E3A61" w:rsidRPr="00053E2E" w:rsidSect="007357EB">
      <w:footerReference w:type="default" r:id="rId10"/>
      <w:pgSz w:w="11906" w:h="16838"/>
      <w:pgMar w:top="1418" w:right="1418" w:bottom="1418" w:left="1418" w:header="720"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7DB" w:rsidRDefault="009B37DB">
      <w:pPr>
        <w:spacing w:before="0" w:line="240" w:lineRule="auto"/>
      </w:pPr>
      <w:r>
        <w:separator/>
      </w:r>
    </w:p>
  </w:endnote>
  <w:endnote w:type="continuationSeparator" w:id="0">
    <w:p w:rsidR="009B37DB" w:rsidRDefault="009B37DB">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Yu Gothic">
    <w:altName w:val="MS Gothic"/>
    <w:charset w:val="80"/>
    <w:family w:val="swiss"/>
    <w:pitch w:val="variable"/>
    <w:sig w:usb0="00000000"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000" w:usb3="00000000" w:csb0="00000093"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58"/>
      <w:gridCol w:w="4642"/>
    </w:tblGrid>
    <w:tr w:rsidR="00180099" w:rsidTr="007357EB">
      <w:trPr>
        <w:trHeight w:hRule="exact" w:val="115"/>
        <w:jc w:val="center"/>
      </w:trPr>
      <w:tc>
        <w:tcPr>
          <w:tcW w:w="4659" w:type="dxa"/>
          <w:shd w:val="clear" w:color="auto" w:fill="5B9BD5" w:themeFill="accent1"/>
          <w:tcMar>
            <w:top w:w="0" w:type="dxa"/>
            <w:bottom w:w="0" w:type="dxa"/>
          </w:tcMar>
        </w:tcPr>
        <w:p w:rsidR="00180099" w:rsidRDefault="00180099">
          <w:pPr>
            <w:pStyle w:val="En-tte"/>
            <w:rPr>
              <w:caps/>
              <w:sz w:val="18"/>
            </w:rPr>
          </w:pPr>
        </w:p>
      </w:tc>
      <w:tc>
        <w:tcPr>
          <w:tcW w:w="4643" w:type="dxa"/>
          <w:shd w:val="clear" w:color="auto" w:fill="5B9BD5" w:themeFill="accent1"/>
          <w:tcMar>
            <w:top w:w="0" w:type="dxa"/>
            <w:bottom w:w="0" w:type="dxa"/>
          </w:tcMar>
        </w:tcPr>
        <w:p w:rsidR="00180099" w:rsidRDefault="00180099">
          <w:pPr>
            <w:pStyle w:val="En-tte"/>
            <w:jc w:val="right"/>
            <w:rPr>
              <w:caps/>
              <w:sz w:val="18"/>
            </w:rPr>
          </w:pPr>
        </w:p>
      </w:tc>
    </w:tr>
  </w:tbl>
  <w:p w:rsidR="001E3A61" w:rsidRPr="003566ED" w:rsidRDefault="007357EB">
    <w:pPr>
      <w:tabs>
        <w:tab w:val="right" w:pos="8460"/>
      </w:tabs>
      <w:spacing w:before="0" w:after="709"/>
      <w:rPr>
        <w:rFonts w:ascii="Ebrima" w:hAnsi="Ebrima"/>
        <w:sz w:val="16"/>
        <w:szCs w:val="16"/>
      </w:rPr>
    </w:pPr>
    <w:r>
      <w:rPr>
        <w:rFonts w:ascii="Ebrima" w:hAnsi="Ebrima"/>
        <w:sz w:val="16"/>
        <w:szCs w:val="16"/>
      </w:rPr>
      <w:fldChar w:fldCharType="begin"/>
    </w:r>
    <w:r>
      <w:rPr>
        <w:rFonts w:ascii="Ebrima" w:hAnsi="Ebrima"/>
        <w:sz w:val="16"/>
        <w:szCs w:val="16"/>
      </w:rPr>
      <w:instrText xml:space="preserve"> FILENAME   \* MERGEFORMAT </w:instrText>
    </w:r>
    <w:r>
      <w:rPr>
        <w:rFonts w:ascii="Ebrima" w:hAnsi="Ebrima"/>
        <w:sz w:val="16"/>
        <w:szCs w:val="16"/>
      </w:rPr>
      <w:fldChar w:fldCharType="separate"/>
    </w:r>
    <w:r w:rsidR="008434EA">
      <w:rPr>
        <w:rFonts w:ascii="Ebrima" w:hAnsi="Ebrima"/>
        <w:noProof/>
        <w:sz w:val="16"/>
        <w:szCs w:val="16"/>
      </w:rPr>
      <w:t>FNCCR_consultation _ARCEP_analyse 5°cycle_HD et THD fixe_20160926_vF.docx</w:t>
    </w:r>
    <w:r>
      <w:rPr>
        <w:rFonts w:ascii="Ebrima" w:hAnsi="Ebrima"/>
        <w:sz w:val="16"/>
        <w:szCs w:val="16"/>
      </w:rPr>
      <w:fldChar w:fldCharType="end"/>
    </w:r>
    <w:r>
      <w:rPr>
        <w:rFonts w:ascii="Ebrima" w:hAnsi="Ebrima"/>
        <w:sz w:val="16"/>
        <w:szCs w:val="16"/>
      </w:rPr>
      <w:tab/>
    </w:r>
    <w:r>
      <w:rPr>
        <w:rFonts w:ascii="Ebrima" w:hAnsi="Ebrima"/>
        <w:sz w:val="16"/>
        <w:szCs w:val="16"/>
      </w:rPr>
      <w:tab/>
    </w:r>
    <w:r>
      <w:rPr>
        <w:rFonts w:ascii="Ebrima" w:hAnsi="Ebrima"/>
        <w:sz w:val="16"/>
        <w:szCs w:val="16"/>
      </w:rPr>
      <w:fldChar w:fldCharType="begin"/>
    </w:r>
    <w:r>
      <w:rPr>
        <w:rFonts w:ascii="Ebrima" w:hAnsi="Ebrima"/>
        <w:sz w:val="16"/>
        <w:szCs w:val="16"/>
      </w:rPr>
      <w:instrText xml:space="preserve"> PAGE   \* MERGEFORMAT </w:instrText>
    </w:r>
    <w:r>
      <w:rPr>
        <w:rFonts w:ascii="Ebrima" w:hAnsi="Ebrima"/>
        <w:sz w:val="16"/>
        <w:szCs w:val="16"/>
      </w:rPr>
      <w:fldChar w:fldCharType="separate"/>
    </w:r>
    <w:r w:rsidR="00101B53">
      <w:rPr>
        <w:rFonts w:ascii="Ebrima" w:hAnsi="Ebrima"/>
        <w:noProof/>
        <w:sz w:val="16"/>
        <w:szCs w:val="16"/>
      </w:rPr>
      <w:t>1</w:t>
    </w:r>
    <w:r>
      <w:rPr>
        <w:rFonts w:ascii="Ebrima" w:hAnsi="Ebrima"/>
        <w:sz w:val="16"/>
        <w:szCs w:val="16"/>
      </w:rPr>
      <w:fldChar w:fldCharType="end"/>
    </w:r>
    <w:r>
      <w:rPr>
        <w:rFonts w:ascii="Ebrima" w:hAnsi="Ebrima"/>
        <w:sz w:val="16"/>
        <w:szCs w:val="16"/>
      </w:rPr>
      <w:t>/</w:t>
    </w:r>
    <w:r>
      <w:rPr>
        <w:rFonts w:ascii="Ebrima" w:hAnsi="Ebrima"/>
        <w:sz w:val="16"/>
        <w:szCs w:val="16"/>
      </w:rPr>
      <w:fldChar w:fldCharType="begin"/>
    </w:r>
    <w:r>
      <w:rPr>
        <w:rFonts w:ascii="Ebrima" w:hAnsi="Ebrima"/>
        <w:sz w:val="16"/>
        <w:szCs w:val="16"/>
      </w:rPr>
      <w:instrText xml:space="preserve"> NUMPAGES   \* MERGEFORMAT </w:instrText>
    </w:r>
    <w:r>
      <w:rPr>
        <w:rFonts w:ascii="Ebrima" w:hAnsi="Ebrima"/>
        <w:sz w:val="16"/>
        <w:szCs w:val="16"/>
      </w:rPr>
      <w:fldChar w:fldCharType="separate"/>
    </w:r>
    <w:r w:rsidR="00101B53">
      <w:rPr>
        <w:rFonts w:ascii="Ebrima" w:hAnsi="Ebrima"/>
        <w:noProof/>
        <w:sz w:val="16"/>
        <w:szCs w:val="16"/>
      </w:rPr>
      <w:t>18</w:t>
    </w:r>
    <w:r>
      <w:rPr>
        <w:rFonts w:ascii="Ebrima" w:hAnsi="Ebrima"/>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7DB" w:rsidRDefault="009B37DB">
      <w:pPr>
        <w:spacing w:before="0" w:line="240" w:lineRule="auto"/>
      </w:pPr>
      <w:r>
        <w:separator/>
      </w:r>
    </w:p>
  </w:footnote>
  <w:footnote w:type="continuationSeparator" w:id="0">
    <w:p w:rsidR="009B37DB" w:rsidRDefault="009B37DB">
      <w:pPr>
        <w:spacing w:before="0" w:line="240" w:lineRule="auto"/>
      </w:pPr>
      <w:r>
        <w:continuationSeparator/>
      </w:r>
    </w:p>
  </w:footnote>
  <w:footnote w:id="1">
    <w:p w:rsidR="001E3A61" w:rsidRDefault="009B37DB">
      <w:pPr>
        <w:spacing w:line="240" w:lineRule="auto"/>
      </w:pPr>
      <w:r>
        <w:rPr>
          <w:vertAlign w:val="superscript"/>
        </w:rPr>
        <w:footnoteRef/>
      </w:r>
      <w:r>
        <w:rPr>
          <w:rFonts w:ascii="Ebrima" w:eastAsia="Ebrima" w:hAnsi="Ebrima" w:cs="Ebrima"/>
          <w:sz w:val="16"/>
          <w:szCs w:val="16"/>
        </w:rPr>
        <w:t xml:space="preserve"> Sources :  CEREMA et Cercle-CREDO</w:t>
      </w:r>
    </w:p>
  </w:footnote>
  <w:footnote w:id="2">
    <w:p w:rsidR="001E3A61" w:rsidRPr="00485613" w:rsidRDefault="009B37DB">
      <w:pPr>
        <w:spacing w:line="240" w:lineRule="auto"/>
        <w:rPr>
          <w:rFonts w:ascii="Ebrima" w:hAnsi="Ebrima"/>
          <w:sz w:val="16"/>
          <w:szCs w:val="16"/>
        </w:rPr>
      </w:pPr>
      <w:r w:rsidRPr="00485613">
        <w:rPr>
          <w:rFonts w:ascii="Ebrima" w:hAnsi="Ebrima"/>
          <w:sz w:val="16"/>
          <w:szCs w:val="16"/>
          <w:vertAlign w:val="superscript"/>
        </w:rPr>
        <w:footnoteRef/>
      </w:r>
      <w:r w:rsidRPr="00485613">
        <w:rPr>
          <w:rFonts w:ascii="Ebrima" w:eastAsia="Ebrima" w:hAnsi="Ebrima" w:cs="Ebrima"/>
          <w:sz w:val="16"/>
          <w:szCs w:val="16"/>
        </w:rPr>
        <w:t xml:space="preserve"> Nonobstant les alertes quant à la saturation des satellites télécoms, dont KA-SAT</w:t>
      </w:r>
    </w:p>
  </w:footnote>
  <w:footnote w:id="3">
    <w:p w:rsidR="001E3A61" w:rsidRPr="00BC1186" w:rsidRDefault="009B37DB">
      <w:pPr>
        <w:spacing w:line="240" w:lineRule="auto"/>
        <w:rPr>
          <w:rFonts w:ascii="Ebrima" w:hAnsi="Ebrima"/>
          <w:sz w:val="16"/>
          <w:szCs w:val="16"/>
        </w:rPr>
      </w:pPr>
      <w:r w:rsidRPr="00BC1186">
        <w:rPr>
          <w:rFonts w:ascii="Ebrima" w:hAnsi="Ebrima"/>
          <w:sz w:val="16"/>
          <w:szCs w:val="16"/>
          <w:vertAlign w:val="superscript"/>
        </w:rPr>
        <w:footnoteRef/>
      </w:r>
      <w:r w:rsidRPr="00BC1186">
        <w:rPr>
          <w:rFonts w:ascii="Ebrima" w:eastAsia="Ebrima" w:hAnsi="Ebrima" w:cs="Ebrima"/>
          <w:sz w:val="16"/>
          <w:szCs w:val="16"/>
        </w:rPr>
        <w:t xml:space="preserve"> </w:t>
      </w:r>
      <w:r w:rsidRPr="00BC1186">
        <w:rPr>
          <w:rFonts w:ascii="Ebrima" w:eastAsia="Ebrima" w:hAnsi="Ebrima" w:cs="Ebrima"/>
          <w:sz w:val="16"/>
          <w:szCs w:val="16"/>
          <w:highlight w:val="white"/>
        </w:rPr>
        <w:t>Amélioration de la connectivité fixe d'un million de foyers supplémentaires d'ici un an et de 2,5 millions de logements en zones peu denses, d'ici fin 2019. Apporter la 4G à 5 millions d'habitants supplémentaires d'ici un an. Objectif de couverture à 99% dès 2019, au lieu de 2022, de la zone de déploiement prioritaire attachée aux licences 4G.</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96445"/>
    <w:multiLevelType w:val="multilevel"/>
    <w:tmpl w:val="D49040A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
    <w:nsid w:val="22640D70"/>
    <w:multiLevelType w:val="multilevel"/>
    <w:tmpl w:val="611E1A0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
    <w:nsid w:val="4E6C4605"/>
    <w:multiLevelType w:val="multilevel"/>
    <w:tmpl w:val="0622999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
    <w:nsid w:val="57BC131A"/>
    <w:multiLevelType w:val="multilevel"/>
    <w:tmpl w:val="145A1F74"/>
    <w:lvl w:ilvl="0">
      <w:start w:val="1"/>
      <w:numFmt w:val="bullet"/>
      <w:lvlText w:val=""/>
      <w:lvlJc w:val="left"/>
      <w:pPr>
        <w:ind w:left="0" w:firstLine="360"/>
      </w:pPr>
      <w:rPr>
        <w:rFonts w:ascii="Symbol" w:hAnsi="Symbol" w:hint="default"/>
      </w:rPr>
    </w:lvl>
    <w:lvl w:ilvl="1">
      <w:start w:val="1"/>
      <w:numFmt w:val="bullet"/>
      <w:lvlText w:val="o"/>
      <w:lvlJc w:val="left"/>
      <w:pPr>
        <w:ind w:left="720" w:firstLine="1080"/>
      </w:pPr>
      <w:rPr>
        <w:rFonts w:ascii="Arial" w:eastAsia="Arial" w:hAnsi="Arial" w:cs="Arial"/>
      </w:rPr>
    </w:lvl>
    <w:lvl w:ilvl="2">
      <w:start w:val="1"/>
      <w:numFmt w:val="bullet"/>
      <w:lvlText w:val="▪"/>
      <w:lvlJc w:val="left"/>
      <w:pPr>
        <w:ind w:left="1440" w:firstLine="1800"/>
      </w:pPr>
      <w:rPr>
        <w:rFonts w:ascii="Arial" w:eastAsia="Arial" w:hAnsi="Arial" w:cs="Arial"/>
      </w:rPr>
    </w:lvl>
    <w:lvl w:ilvl="3">
      <w:start w:val="1"/>
      <w:numFmt w:val="bullet"/>
      <w:lvlText w:val="●"/>
      <w:lvlJc w:val="left"/>
      <w:pPr>
        <w:ind w:left="2160" w:firstLine="2520"/>
      </w:pPr>
      <w:rPr>
        <w:rFonts w:ascii="Arial" w:eastAsia="Arial" w:hAnsi="Arial" w:cs="Arial"/>
      </w:rPr>
    </w:lvl>
    <w:lvl w:ilvl="4">
      <w:start w:val="1"/>
      <w:numFmt w:val="bullet"/>
      <w:lvlText w:val="o"/>
      <w:lvlJc w:val="left"/>
      <w:pPr>
        <w:ind w:left="2880" w:firstLine="3240"/>
      </w:pPr>
      <w:rPr>
        <w:rFonts w:ascii="Arial" w:eastAsia="Arial" w:hAnsi="Arial" w:cs="Arial"/>
      </w:rPr>
    </w:lvl>
    <w:lvl w:ilvl="5">
      <w:start w:val="1"/>
      <w:numFmt w:val="bullet"/>
      <w:lvlText w:val="▪"/>
      <w:lvlJc w:val="left"/>
      <w:pPr>
        <w:ind w:left="3600" w:firstLine="3960"/>
      </w:pPr>
      <w:rPr>
        <w:rFonts w:ascii="Arial" w:eastAsia="Arial" w:hAnsi="Arial" w:cs="Arial"/>
      </w:rPr>
    </w:lvl>
    <w:lvl w:ilvl="6">
      <w:start w:val="1"/>
      <w:numFmt w:val="bullet"/>
      <w:lvlText w:val="●"/>
      <w:lvlJc w:val="left"/>
      <w:pPr>
        <w:ind w:left="4320" w:firstLine="4680"/>
      </w:pPr>
      <w:rPr>
        <w:rFonts w:ascii="Arial" w:eastAsia="Arial" w:hAnsi="Arial" w:cs="Arial"/>
      </w:rPr>
    </w:lvl>
    <w:lvl w:ilvl="7">
      <w:start w:val="1"/>
      <w:numFmt w:val="bullet"/>
      <w:lvlText w:val="o"/>
      <w:lvlJc w:val="left"/>
      <w:pPr>
        <w:ind w:left="5040" w:firstLine="5400"/>
      </w:pPr>
      <w:rPr>
        <w:rFonts w:ascii="Arial" w:eastAsia="Arial" w:hAnsi="Arial" w:cs="Arial"/>
      </w:rPr>
    </w:lvl>
    <w:lvl w:ilvl="8">
      <w:start w:val="1"/>
      <w:numFmt w:val="bullet"/>
      <w:lvlText w:val="▪"/>
      <w:lvlJc w:val="left"/>
      <w:pPr>
        <w:ind w:left="5760" w:firstLine="6120"/>
      </w:pPr>
      <w:rPr>
        <w:rFonts w:ascii="Arial" w:eastAsia="Arial" w:hAnsi="Arial" w:cs="Arial"/>
      </w:rPr>
    </w:lvl>
  </w:abstractNum>
  <w:abstractNum w:abstractNumId="4">
    <w:nsid w:val="64600792"/>
    <w:multiLevelType w:val="multilevel"/>
    <w:tmpl w:val="290E83F0"/>
    <w:lvl w:ilvl="0">
      <w:start w:val="1"/>
      <w:numFmt w:val="bullet"/>
      <w:lvlText w:val="●"/>
      <w:lvlJc w:val="left"/>
      <w:pPr>
        <w:ind w:left="720" w:firstLine="360"/>
      </w:pPr>
      <w:rPr>
        <w:rFonts w:ascii="Arial" w:eastAsia="Arial" w:hAnsi="Arial" w:cs="Arial"/>
      </w:rPr>
    </w:lvl>
    <w:lvl w:ilvl="1">
      <w:start w:val="1"/>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
    <w:nsid w:val="7AE15B0E"/>
    <w:multiLevelType w:val="multilevel"/>
    <w:tmpl w:val="DFF2FEF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
  <w:rsids>
    <w:rsidRoot w:val="001E3A61"/>
    <w:rsid w:val="000051F3"/>
    <w:rsid w:val="00053E2E"/>
    <w:rsid w:val="000F7D62"/>
    <w:rsid w:val="00101B53"/>
    <w:rsid w:val="00134212"/>
    <w:rsid w:val="001369FB"/>
    <w:rsid w:val="0016105A"/>
    <w:rsid w:val="00180099"/>
    <w:rsid w:val="001A4D80"/>
    <w:rsid w:val="001B3362"/>
    <w:rsid w:val="001D3D0D"/>
    <w:rsid w:val="001E3A61"/>
    <w:rsid w:val="002070FD"/>
    <w:rsid w:val="00225E66"/>
    <w:rsid w:val="00257BE2"/>
    <w:rsid w:val="002618BE"/>
    <w:rsid w:val="002977F9"/>
    <w:rsid w:val="002A67DB"/>
    <w:rsid w:val="002E4567"/>
    <w:rsid w:val="00305B96"/>
    <w:rsid w:val="003566ED"/>
    <w:rsid w:val="003858D4"/>
    <w:rsid w:val="00386052"/>
    <w:rsid w:val="00387AFC"/>
    <w:rsid w:val="003B3080"/>
    <w:rsid w:val="003B47AB"/>
    <w:rsid w:val="003B7BF5"/>
    <w:rsid w:val="00404D9F"/>
    <w:rsid w:val="00463B9B"/>
    <w:rsid w:val="004661CA"/>
    <w:rsid w:val="00470053"/>
    <w:rsid w:val="00485613"/>
    <w:rsid w:val="00486F40"/>
    <w:rsid w:val="0049295F"/>
    <w:rsid w:val="004D7CE3"/>
    <w:rsid w:val="004E445F"/>
    <w:rsid w:val="004E7ED5"/>
    <w:rsid w:val="004F3174"/>
    <w:rsid w:val="00504C95"/>
    <w:rsid w:val="00527D39"/>
    <w:rsid w:val="005E31FF"/>
    <w:rsid w:val="00601FD6"/>
    <w:rsid w:val="00621F15"/>
    <w:rsid w:val="0066698B"/>
    <w:rsid w:val="0068547E"/>
    <w:rsid w:val="00690034"/>
    <w:rsid w:val="00695DD2"/>
    <w:rsid w:val="006976A3"/>
    <w:rsid w:val="006B32DC"/>
    <w:rsid w:val="006B73C5"/>
    <w:rsid w:val="006C02CC"/>
    <w:rsid w:val="006C1BC1"/>
    <w:rsid w:val="006C4BFD"/>
    <w:rsid w:val="006F7AA6"/>
    <w:rsid w:val="007357EB"/>
    <w:rsid w:val="007367CD"/>
    <w:rsid w:val="007C468D"/>
    <w:rsid w:val="007C7E93"/>
    <w:rsid w:val="007F716A"/>
    <w:rsid w:val="00820DF1"/>
    <w:rsid w:val="008434EA"/>
    <w:rsid w:val="00855C23"/>
    <w:rsid w:val="008664E0"/>
    <w:rsid w:val="008A1E8C"/>
    <w:rsid w:val="008C2478"/>
    <w:rsid w:val="00903AF1"/>
    <w:rsid w:val="009265FD"/>
    <w:rsid w:val="009353AE"/>
    <w:rsid w:val="00952225"/>
    <w:rsid w:val="00965A9E"/>
    <w:rsid w:val="009810E5"/>
    <w:rsid w:val="00994D2A"/>
    <w:rsid w:val="009A6192"/>
    <w:rsid w:val="009A77AE"/>
    <w:rsid w:val="009B01F2"/>
    <w:rsid w:val="009B37DB"/>
    <w:rsid w:val="00A017F5"/>
    <w:rsid w:val="00A01AAF"/>
    <w:rsid w:val="00A128A2"/>
    <w:rsid w:val="00A91C2D"/>
    <w:rsid w:val="00BC1186"/>
    <w:rsid w:val="00BD7989"/>
    <w:rsid w:val="00C0275E"/>
    <w:rsid w:val="00C11B66"/>
    <w:rsid w:val="00C479A2"/>
    <w:rsid w:val="00C62EE6"/>
    <w:rsid w:val="00C77D98"/>
    <w:rsid w:val="00CD162D"/>
    <w:rsid w:val="00D13C98"/>
    <w:rsid w:val="00D32710"/>
    <w:rsid w:val="00D3768C"/>
    <w:rsid w:val="00D719D0"/>
    <w:rsid w:val="00D77EB1"/>
    <w:rsid w:val="00D85E97"/>
    <w:rsid w:val="00D92728"/>
    <w:rsid w:val="00DB1874"/>
    <w:rsid w:val="00DB2468"/>
    <w:rsid w:val="00DF68FC"/>
    <w:rsid w:val="00E171BD"/>
    <w:rsid w:val="00E17B16"/>
    <w:rsid w:val="00E32200"/>
    <w:rsid w:val="00E328CB"/>
    <w:rsid w:val="00E363BF"/>
    <w:rsid w:val="00E908A6"/>
    <w:rsid w:val="00E93A68"/>
    <w:rsid w:val="00EA28A1"/>
    <w:rsid w:val="00EF3403"/>
    <w:rsid w:val="00F0419D"/>
    <w:rsid w:val="00F323FE"/>
    <w:rsid w:val="00F45A0E"/>
    <w:rsid w:val="00F536D2"/>
    <w:rsid w:val="00F851E8"/>
    <w:rsid w:val="00FC1BB1"/>
    <w:rsid w:val="00FC5C1D"/>
    <w:rsid w:val="00FD47D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fr-FR" w:eastAsia="fr-FR" w:bidi="ar-SA"/>
      </w:rPr>
    </w:rPrDefault>
    <w:pPrDefault>
      <w:pPr>
        <w:spacing w:before="120" w:line="30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itre1">
    <w:name w:val="heading 1"/>
    <w:basedOn w:val="Normal"/>
    <w:next w:val="Normal"/>
    <w:pPr>
      <w:keepNext/>
      <w:keepLines/>
      <w:spacing w:before="240" w:after="240" w:line="240" w:lineRule="auto"/>
      <w:jc w:val="center"/>
      <w:outlineLvl w:val="0"/>
    </w:pPr>
    <w:rPr>
      <w:rFonts w:ascii="Yu Gothic" w:eastAsia="Yu Gothic" w:hAnsi="Yu Gothic" w:cs="Yu Gothic"/>
      <w:b/>
      <w:color w:val="808080"/>
      <w:sz w:val="28"/>
      <w:szCs w:val="28"/>
    </w:rPr>
  </w:style>
  <w:style w:type="paragraph" w:styleId="Titre2">
    <w:name w:val="heading 2"/>
    <w:basedOn w:val="Normal"/>
    <w:next w:val="Normal"/>
    <w:pPr>
      <w:keepNext/>
      <w:keepLines/>
      <w:spacing w:after="240" w:line="240" w:lineRule="auto"/>
      <w:outlineLvl w:val="1"/>
    </w:pPr>
    <w:rPr>
      <w:rFonts w:ascii="Yu Gothic" w:eastAsia="Yu Gothic" w:hAnsi="Yu Gothic" w:cs="Yu Gothic"/>
      <w:b/>
      <w:color w:val="366091"/>
      <w:sz w:val="26"/>
      <w:szCs w:val="26"/>
    </w:rPr>
  </w:style>
  <w:style w:type="paragraph" w:styleId="Titre3">
    <w:name w:val="heading 3"/>
    <w:basedOn w:val="Normal"/>
    <w:next w:val="Normal"/>
    <w:pPr>
      <w:keepNext/>
      <w:keepLines/>
      <w:spacing w:before="40"/>
      <w:outlineLvl w:val="2"/>
    </w:pPr>
    <w:rPr>
      <w:rFonts w:ascii="Cambria" w:eastAsia="Cambria" w:hAnsi="Cambria" w:cs="Cambria"/>
      <w:color w:val="243F61"/>
      <w:sz w:val="24"/>
      <w:szCs w:val="24"/>
    </w:rPr>
  </w:style>
  <w:style w:type="paragraph" w:styleId="Titre4">
    <w:name w:val="heading 4"/>
    <w:basedOn w:val="Normal"/>
    <w:next w:val="Normal"/>
    <w:pPr>
      <w:keepNext/>
      <w:keepLines/>
      <w:spacing w:before="40"/>
      <w:outlineLvl w:val="3"/>
    </w:pPr>
    <w:rPr>
      <w:rFonts w:ascii="Cambria" w:eastAsia="Cambria" w:hAnsi="Cambria" w:cs="Cambria"/>
      <w:i/>
      <w:color w:val="366091"/>
    </w:rPr>
  </w:style>
  <w:style w:type="paragraph" w:styleId="Titre5">
    <w:name w:val="heading 5"/>
    <w:basedOn w:val="Normal"/>
    <w:next w:val="Normal"/>
    <w:pPr>
      <w:keepNext/>
      <w:keepLines/>
      <w:spacing w:before="220" w:after="40"/>
      <w:contextualSpacing/>
      <w:outlineLvl w:val="4"/>
    </w:pPr>
    <w:rPr>
      <w:b/>
    </w:rPr>
  </w:style>
  <w:style w:type="paragraph" w:styleId="Titre6">
    <w:name w:val="heading 6"/>
    <w:basedOn w:val="Normal"/>
    <w:next w:val="Normal"/>
    <w:pPr>
      <w:keepNext/>
      <w:keepLines/>
      <w:spacing w:before="200" w:after="40"/>
      <w:contextualSpacing/>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before="480" w:after="120"/>
      <w:contextualSpacing/>
    </w:pPr>
    <w:rPr>
      <w:b/>
      <w:sz w:val="72"/>
      <w:szCs w:val="72"/>
    </w:rPr>
  </w:style>
  <w:style w:type="paragraph" w:styleId="Sous-titre">
    <w:name w:val="Subtitle"/>
    <w:basedOn w:val="Normal"/>
    <w:next w:val="Normal"/>
    <w:pPr>
      <w:keepNext/>
      <w:keepLines/>
      <w:spacing w:after="160"/>
    </w:pPr>
    <w:rPr>
      <w:rFonts w:ascii="Calibri" w:eastAsia="Calibri" w:hAnsi="Calibri" w:cs="Calibri"/>
      <w:i/>
      <w:color w:val="666666"/>
    </w:rPr>
  </w:style>
  <w:style w:type="table" w:customStyle="1" w:styleId="a">
    <w:basedOn w:val="TableNormal"/>
    <w:pPr>
      <w:spacing w:line="240" w:lineRule="auto"/>
    </w:pPr>
    <w:tblPr>
      <w:tblStyleRowBandSize w:val="1"/>
      <w:tblStyleColBandSize w:val="1"/>
      <w:tblCellMar>
        <w:left w:w="115" w:type="dxa"/>
        <w:right w:w="115" w:type="dxa"/>
      </w:tblCellMar>
    </w:tblPr>
  </w:style>
  <w:style w:type="table" w:customStyle="1" w:styleId="a0">
    <w:basedOn w:val="TableNormal"/>
    <w:pPr>
      <w:spacing w:line="240" w:lineRule="auto"/>
    </w:pPr>
    <w:tblPr>
      <w:tblStyleRowBandSize w:val="1"/>
      <w:tblStyleColBandSize w:val="1"/>
      <w:tblCellMar>
        <w:left w:w="115" w:type="dxa"/>
        <w:right w:w="115" w:type="dxa"/>
      </w:tblCellMar>
    </w:tblPr>
  </w:style>
  <w:style w:type="table" w:customStyle="1" w:styleId="a1">
    <w:basedOn w:val="TableNormal"/>
    <w:pPr>
      <w:spacing w:line="240" w:lineRule="auto"/>
    </w:pPr>
    <w:tblPr>
      <w:tblStyleRowBandSize w:val="1"/>
      <w:tblStyleColBandSize w:val="1"/>
      <w:tblCellMar>
        <w:left w:w="115" w:type="dxa"/>
        <w:right w:w="115" w:type="dxa"/>
      </w:tblCellMar>
    </w:tblPr>
  </w:style>
  <w:style w:type="table" w:customStyle="1" w:styleId="a2">
    <w:basedOn w:val="TableNormal"/>
    <w:pPr>
      <w:spacing w:line="240" w:lineRule="auto"/>
    </w:pPr>
    <w:tblPr>
      <w:tblStyleRowBandSize w:val="1"/>
      <w:tblStyleColBandSize w:val="1"/>
      <w:tblCellMar>
        <w:left w:w="115" w:type="dxa"/>
        <w:right w:w="115" w:type="dxa"/>
      </w:tblCellMar>
    </w:tblPr>
  </w:style>
  <w:style w:type="table" w:customStyle="1" w:styleId="a3">
    <w:basedOn w:val="TableNormal"/>
    <w:pPr>
      <w:spacing w:line="240" w:lineRule="auto"/>
    </w:pPr>
    <w:tblPr>
      <w:tblStyleRowBandSize w:val="1"/>
      <w:tblStyleColBandSize w:val="1"/>
      <w:tblCellMar>
        <w:left w:w="115" w:type="dxa"/>
        <w:right w:w="115" w:type="dxa"/>
      </w:tblCellMar>
    </w:tblPr>
  </w:style>
  <w:style w:type="table" w:customStyle="1" w:styleId="a4">
    <w:basedOn w:val="TableNormal"/>
    <w:pPr>
      <w:spacing w:line="240" w:lineRule="auto"/>
    </w:pPr>
    <w:tblPr>
      <w:tblStyleRowBandSize w:val="1"/>
      <w:tblStyleColBandSize w:val="1"/>
      <w:tblCellMar>
        <w:left w:w="115" w:type="dxa"/>
        <w:right w:w="115" w:type="dxa"/>
      </w:tblCellMar>
    </w:tblPr>
  </w:style>
  <w:style w:type="table" w:customStyle="1" w:styleId="a5">
    <w:basedOn w:val="TableNormal"/>
    <w:pPr>
      <w:spacing w:line="240" w:lineRule="auto"/>
    </w:pPr>
    <w:tblPr>
      <w:tblStyleRowBandSize w:val="1"/>
      <w:tblStyleColBandSize w:val="1"/>
      <w:tblCellMar>
        <w:left w:w="115" w:type="dxa"/>
        <w:right w:w="115" w:type="dxa"/>
      </w:tblCellMar>
    </w:tblPr>
  </w:style>
  <w:style w:type="table" w:customStyle="1" w:styleId="a6">
    <w:basedOn w:val="TableNormal"/>
    <w:pPr>
      <w:spacing w:line="240" w:lineRule="auto"/>
    </w:pPr>
    <w:tblPr>
      <w:tblStyleRowBandSize w:val="1"/>
      <w:tblStyleColBandSize w:val="1"/>
      <w:tblCellMar>
        <w:left w:w="115" w:type="dxa"/>
        <w:right w:w="115" w:type="dxa"/>
      </w:tblCellMar>
    </w:tblPr>
  </w:style>
  <w:style w:type="table" w:customStyle="1" w:styleId="a7">
    <w:basedOn w:val="TableNormal"/>
    <w:pPr>
      <w:spacing w:line="240" w:lineRule="auto"/>
    </w:pPr>
    <w:tblPr>
      <w:tblStyleRowBandSize w:val="1"/>
      <w:tblStyleColBandSize w:val="1"/>
      <w:tblCellMar>
        <w:left w:w="115" w:type="dxa"/>
        <w:right w:w="115" w:type="dxa"/>
      </w:tblCellMar>
    </w:tblPr>
  </w:style>
  <w:style w:type="table" w:customStyle="1" w:styleId="a8">
    <w:basedOn w:val="TableNormal"/>
    <w:pPr>
      <w:spacing w:line="240" w:lineRule="auto"/>
    </w:pPr>
    <w:tblPr>
      <w:tblStyleRowBandSize w:val="1"/>
      <w:tblStyleColBandSize w:val="1"/>
      <w:tblCellMar>
        <w:left w:w="115" w:type="dxa"/>
        <w:right w:w="115" w:type="dxa"/>
      </w:tblCellMar>
    </w:tblPr>
  </w:style>
  <w:style w:type="table" w:customStyle="1" w:styleId="a9">
    <w:basedOn w:val="TableNormal"/>
    <w:pPr>
      <w:spacing w:line="240" w:lineRule="auto"/>
    </w:pPr>
    <w:tblPr>
      <w:tblStyleRowBandSize w:val="1"/>
      <w:tblStyleColBandSize w:val="1"/>
      <w:tblCellMar>
        <w:left w:w="115" w:type="dxa"/>
        <w:right w:w="115" w:type="dxa"/>
      </w:tblCellMar>
    </w:tblPr>
  </w:style>
  <w:style w:type="table" w:customStyle="1" w:styleId="aa">
    <w:basedOn w:val="TableNormal"/>
    <w:pPr>
      <w:spacing w:line="240" w:lineRule="auto"/>
    </w:pPr>
    <w:tblPr>
      <w:tblStyleRowBandSize w:val="1"/>
      <w:tblStyleColBandSize w:val="1"/>
      <w:tblCellMar>
        <w:left w:w="115" w:type="dxa"/>
        <w:right w:w="115" w:type="dxa"/>
      </w:tblCellMar>
    </w:tblPr>
  </w:style>
  <w:style w:type="table" w:customStyle="1" w:styleId="ab">
    <w:basedOn w:val="TableNormal"/>
    <w:pPr>
      <w:spacing w:line="240" w:lineRule="auto"/>
    </w:pPr>
    <w:tblPr>
      <w:tblStyleRowBandSize w:val="1"/>
      <w:tblStyleColBandSize w:val="1"/>
      <w:tblCellMar>
        <w:left w:w="115" w:type="dxa"/>
        <w:right w:w="115" w:type="dxa"/>
      </w:tblCellMar>
    </w:tblPr>
  </w:style>
  <w:style w:type="table" w:customStyle="1" w:styleId="ac">
    <w:basedOn w:val="TableNormal"/>
    <w:pPr>
      <w:spacing w:line="240" w:lineRule="auto"/>
    </w:pPr>
    <w:tblPr>
      <w:tblStyleRowBandSize w:val="1"/>
      <w:tblStyleColBandSize w:val="1"/>
      <w:tblCellMar>
        <w:left w:w="115" w:type="dxa"/>
        <w:right w:w="115" w:type="dxa"/>
      </w:tblCellMar>
    </w:tblPr>
  </w:style>
  <w:style w:type="table" w:customStyle="1" w:styleId="ad">
    <w:basedOn w:val="TableNormal"/>
    <w:pPr>
      <w:spacing w:line="240" w:lineRule="auto"/>
    </w:pPr>
    <w:tblPr>
      <w:tblStyleRowBandSize w:val="1"/>
      <w:tblStyleColBandSize w:val="1"/>
      <w:tblCellMar>
        <w:left w:w="115" w:type="dxa"/>
        <w:right w:w="115" w:type="dxa"/>
      </w:tblCellMar>
    </w:tblPr>
  </w:style>
  <w:style w:type="table" w:customStyle="1" w:styleId="ae">
    <w:basedOn w:val="TableNormal"/>
    <w:pPr>
      <w:spacing w:line="240" w:lineRule="auto"/>
    </w:pPr>
    <w:tblPr>
      <w:tblStyleRowBandSize w:val="1"/>
      <w:tblStyleColBandSize w:val="1"/>
      <w:tblCellMar>
        <w:left w:w="115" w:type="dxa"/>
        <w:right w:w="115" w:type="dxa"/>
      </w:tblCellMar>
    </w:tblPr>
  </w:style>
  <w:style w:type="table" w:customStyle="1" w:styleId="af">
    <w:basedOn w:val="TableNormal"/>
    <w:pPr>
      <w:spacing w:line="240" w:lineRule="auto"/>
    </w:pPr>
    <w:tblPr>
      <w:tblStyleRowBandSize w:val="1"/>
      <w:tblStyleColBandSize w:val="1"/>
      <w:tblCellMar>
        <w:left w:w="115" w:type="dxa"/>
        <w:right w:w="115" w:type="dxa"/>
      </w:tblCellMar>
    </w:tblPr>
  </w:style>
  <w:style w:type="table" w:customStyle="1" w:styleId="af0">
    <w:basedOn w:val="TableNormal"/>
    <w:pPr>
      <w:spacing w:line="240" w:lineRule="auto"/>
    </w:pPr>
    <w:tblPr>
      <w:tblStyleRowBandSize w:val="1"/>
      <w:tblStyleColBandSize w:val="1"/>
      <w:tblCellMar>
        <w:left w:w="115" w:type="dxa"/>
        <w:right w:w="115" w:type="dxa"/>
      </w:tblCellMar>
    </w:tblPr>
  </w:style>
  <w:style w:type="table" w:customStyle="1" w:styleId="af1">
    <w:basedOn w:val="TableNormal"/>
    <w:pPr>
      <w:spacing w:line="240" w:lineRule="auto"/>
    </w:pPr>
    <w:tblPr>
      <w:tblStyleRowBandSize w:val="1"/>
      <w:tblStyleColBandSize w:val="1"/>
      <w:tblCellMar>
        <w:left w:w="115" w:type="dxa"/>
        <w:right w:w="115" w:type="dxa"/>
      </w:tblCellMar>
    </w:tblPr>
  </w:style>
  <w:style w:type="table" w:customStyle="1" w:styleId="af2">
    <w:basedOn w:val="TableNormal"/>
    <w:pPr>
      <w:spacing w:line="240" w:lineRule="auto"/>
    </w:pPr>
    <w:tblPr>
      <w:tblStyleRowBandSize w:val="1"/>
      <w:tblStyleColBandSize w:val="1"/>
      <w:tblCellMar>
        <w:left w:w="115" w:type="dxa"/>
        <w:right w:w="115" w:type="dxa"/>
      </w:tblCellMar>
    </w:tblPr>
  </w:style>
  <w:style w:type="table" w:customStyle="1" w:styleId="af3">
    <w:basedOn w:val="TableNormal"/>
    <w:pPr>
      <w:spacing w:line="240" w:lineRule="auto"/>
    </w:pPr>
    <w:tblPr>
      <w:tblStyleRowBandSize w:val="1"/>
      <w:tblStyleColBandSize w:val="1"/>
      <w:tblCellMar>
        <w:left w:w="115" w:type="dxa"/>
        <w:right w:w="115" w:type="dxa"/>
      </w:tblCellMar>
    </w:tblPr>
  </w:style>
  <w:style w:type="table" w:customStyle="1" w:styleId="af4">
    <w:basedOn w:val="TableNormal"/>
    <w:pPr>
      <w:spacing w:line="240" w:lineRule="auto"/>
    </w:pPr>
    <w:tblPr>
      <w:tblStyleRowBandSize w:val="1"/>
      <w:tblStyleColBandSize w:val="1"/>
      <w:tblCellMar>
        <w:left w:w="115" w:type="dxa"/>
        <w:right w:w="115" w:type="dxa"/>
      </w:tblCellMar>
    </w:tblPr>
  </w:style>
  <w:style w:type="table" w:customStyle="1" w:styleId="af5">
    <w:basedOn w:val="TableNormal"/>
    <w:pPr>
      <w:spacing w:line="240" w:lineRule="auto"/>
    </w:pPr>
    <w:tblPr>
      <w:tblStyleRowBandSize w:val="1"/>
      <w:tblStyleColBandSize w:val="1"/>
      <w:tblCellMar>
        <w:left w:w="115" w:type="dxa"/>
        <w:right w:w="115" w:type="dxa"/>
      </w:tblCellMar>
    </w:tblPr>
  </w:style>
  <w:style w:type="table" w:customStyle="1" w:styleId="af6">
    <w:basedOn w:val="TableNormal"/>
    <w:pPr>
      <w:spacing w:line="240" w:lineRule="auto"/>
    </w:pPr>
    <w:tblPr>
      <w:tblStyleRowBandSize w:val="1"/>
      <w:tblStyleColBandSize w:val="1"/>
      <w:tblCellMar>
        <w:left w:w="115" w:type="dxa"/>
        <w:right w:w="115" w:type="dxa"/>
      </w:tblCellMar>
    </w:tblPr>
  </w:style>
  <w:style w:type="table" w:customStyle="1" w:styleId="af7">
    <w:basedOn w:val="TableNormal"/>
    <w:pPr>
      <w:spacing w:line="240" w:lineRule="auto"/>
    </w:pPr>
    <w:tblPr>
      <w:tblStyleRowBandSize w:val="1"/>
      <w:tblStyleColBandSize w:val="1"/>
      <w:tblCellMar>
        <w:left w:w="115" w:type="dxa"/>
        <w:right w:w="115" w:type="dxa"/>
      </w:tblCellMar>
    </w:tblPr>
  </w:style>
  <w:style w:type="table" w:customStyle="1" w:styleId="af8">
    <w:basedOn w:val="TableNormal"/>
    <w:pPr>
      <w:spacing w:line="240" w:lineRule="auto"/>
    </w:pPr>
    <w:tblPr>
      <w:tblStyleRowBandSize w:val="1"/>
      <w:tblStyleColBandSize w:val="1"/>
      <w:tblCellMar>
        <w:left w:w="115" w:type="dxa"/>
        <w:right w:w="115" w:type="dxa"/>
      </w:tblCellMar>
    </w:tblPr>
  </w:style>
  <w:style w:type="table" w:customStyle="1" w:styleId="af9">
    <w:basedOn w:val="TableNormal"/>
    <w:pPr>
      <w:spacing w:line="240" w:lineRule="auto"/>
    </w:pPr>
    <w:tblPr>
      <w:tblStyleRowBandSize w:val="1"/>
      <w:tblStyleColBandSize w:val="1"/>
      <w:tblCellMar>
        <w:left w:w="115" w:type="dxa"/>
        <w:right w:w="115" w:type="dxa"/>
      </w:tblCellMar>
    </w:tblPr>
  </w:style>
  <w:style w:type="table" w:customStyle="1" w:styleId="afa">
    <w:basedOn w:val="TableNormal"/>
    <w:pPr>
      <w:spacing w:line="240" w:lineRule="auto"/>
    </w:pPr>
    <w:tblPr>
      <w:tblStyleRowBandSize w:val="1"/>
      <w:tblStyleColBandSize w:val="1"/>
      <w:tblCellMar>
        <w:left w:w="115" w:type="dxa"/>
        <w:right w:w="115" w:type="dxa"/>
      </w:tblCellMar>
    </w:tblPr>
  </w:style>
  <w:style w:type="table" w:customStyle="1" w:styleId="afb">
    <w:basedOn w:val="TableNormal"/>
    <w:pPr>
      <w:spacing w:line="240" w:lineRule="auto"/>
    </w:pPr>
    <w:tblPr>
      <w:tblStyleRowBandSize w:val="1"/>
      <w:tblStyleColBandSize w:val="1"/>
      <w:tblCellMar>
        <w:left w:w="115" w:type="dxa"/>
        <w:right w:w="115" w:type="dxa"/>
      </w:tblCellMar>
    </w:tblPr>
  </w:style>
  <w:style w:type="table" w:customStyle="1" w:styleId="afc">
    <w:basedOn w:val="TableNormal"/>
    <w:pPr>
      <w:spacing w:line="240" w:lineRule="auto"/>
    </w:pPr>
    <w:tblPr>
      <w:tblStyleRowBandSize w:val="1"/>
      <w:tblStyleColBandSize w:val="1"/>
      <w:tblCellMar>
        <w:left w:w="115" w:type="dxa"/>
        <w:right w:w="115" w:type="dxa"/>
      </w:tblCellMar>
    </w:tblPr>
  </w:style>
  <w:style w:type="table" w:customStyle="1" w:styleId="afd">
    <w:basedOn w:val="TableNormal"/>
    <w:pPr>
      <w:spacing w:line="240" w:lineRule="auto"/>
    </w:pPr>
    <w:tblPr>
      <w:tblStyleRowBandSize w:val="1"/>
      <w:tblStyleColBandSize w:val="1"/>
      <w:tblCellMar>
        <w:left w:w="115" w:type="dxa"/>
        <w:right w:w="115" w:type="dxa"/>
      </w:tblCellMar>
    </w:tblPr>
  </w:style>
  <w:style w:type="table" w:customStyle="1" w:styleId="afe">
    <w:basedOn w:val="TableNormal"/>
    <w:pPr>
      <w:spacing w:line="240" w:lineRule="auto"/>
    </w:pPr>
    <w:tblPr>
      <w:tblStyleRowBandSize w:val="1"/>
      <w:tblStyleColBandSize w:val="1"/>
      <w:tblCellMar>
        <w:left w:w="115" w:type="dxa"/>
        <w:right w:w="115" w:type="dxa"/>
      </w:tblCellMar>
    </w:tblPr>
  </w:style>
  <w:style w:type="table" w:customStyle="1" w:styleId="aff">
    <w:basedOn w:val="TableNormal"/>
    <w:pPr>
      <w:spacing w:line="240" w:lineRule="auto"/>
    </w:pPr>
    <w:tblPr>
      <w:tblStyleRowBandSize w:val="1"/>
      <w:tblStyleColBandSize w:val="1"/>
      <w:tblCellMar>
        <w:left w:w="115" w:type="dxa"/>
        <w:right w:w="115" w:type="dxa"/>
      </w:tblCellMar>
    </w:tblPr>
  </w:style>
  <w:style w:type="table" w:customStyle="1" w:styleId="aff0">
    <w:basedOn w:val="TableNormal"/>
    <w:pPr>
      <w:spacing w:line="240" w:lineRule="auto"/>
    </w:pPr>
    <w:tblPr>
      <w:tblStyleRowBandSize w:val="1"/>
      <w:tblStyleColBandSize w:val="1"/>
      <w:tblCellMar>
        <w:left w:w="115" w:type="dxa"/>
        <w:right w:w="115" w:type="dxa"/>
      </w:tblCellMar>
    </w:tblPr>
  </w:style>
  <w:style w:type="table" w:customStyle="1" w:styleId="aff1">
    <w:basedOn w:val="TableNormal"/>
    <w:pPr>
      <w:spacing w:line="240" w:lineRule="auto"/>
    </w:pPr>
    <w:tblPr>
      <w:tblStyleRowBandSize w:val="1"/>
      <w:tblStyleColBandSize w:val="1"/>
      <w:tblCellMar>
        <w:left w:w="115" w:type="dxa"/>
        <w:right w:w="115" w:type="dxa"/>
      </w:tblCellMar>
    </w:tblPr>
  </w:style>
  <w:style w:type="table" w:customStyle="1" w:styleId="aff2">
    <w:basedOn w:val="TableNormal"/>
    <w:pPr>
      <w:spacing w:line="240" w:lineRule="auto"/>
    </w:pPr>
    <w:tblPr>
      <w:tblStyleRowBandSize w:val="1"/>
      <w:tblStyleColBandSize w:val="1"/>
      <w:tblCellMar>
        <w:left w:w="115" w:type="dxa"/>
        <w:right w:w="115" w:type="dxa"/>
      </w:tblCellMar>
    </w:tblPr>
  </w:style>
  <w:style w:type="table" w:customStyle="1" w:styleId="aff3">
    <w:basedOn w:val="TableNormal"/>
    <w:pPr>
      <w:spacing w:line="240" w:lineRule="auto"/>
    </w:pPr>
    <w:tblPr>
      <w:tblStyleRowBandSize w:val="1"/>
      <w:tblStyleColBandSize w:val="1"/>
      <w:tblCellMar>
        <w:left w:w="115" w:type="dxa"/>
        <w:right w:w="115" w:type="dxa"/>
      </w:tblCellMar>
    </w:tblPr>
  </w:style>
  <w:style w:type="table" w:customStyle="1" w:styleId="aff4">
    <w:basedOn w:val="TableNormal"/>
    <w:pPr>
      <w:spacing w:line="240" w:lineRule="auto"/>
    </w:pPr>
    <w:tblPr>
      <w:tblStyleRowBandSize w:val="1"/>
      <w:tblStyleColBandSize w:val="1"/>
      <w:tblCellMar>
        <w:left w:w="115" w:type="dxa"/>
        <w:right w:w="115" w:type="dxa"/>
      </w:tblCellMar>
    </w:tblPr>
  </w:style>
  <w:style w:type="table" w:customStyle="1" w:styleId="aff5">
    <w:basedOn w:val="TableNormal"/>
    <w:pPr>
      <w:spacing w:line="240" w:lineRule="auto"/>
    </w:pPr>
    <w:tblPr>
      <w:tblStyleRowBandSize w:val="1"/>
      <w:tblStyleColBandSize w:val="1"/>
      <w:tblCellMar>
        <w:left w:w="115" w:type="dxa"/>
        <w:right w:w="115" w:type="dxa"/>
      </w:tblCellMar>
    </w:tblPr>
  </w:style>
  <w:style w:type="table" w:customStyle="1" w:styleId="aff6">
    <w:basedOn w:val="TableNormal"/>
    <w:pPr>
      <w:spacing w:line="240" w:lineRule="auto"/>
    </w:pPr>
    <w:tblPr>
      <w:tblStyleRowBandSize w:val="1"/>
      <w:tblStyleColBandSize w:val="1"/>
      <w:tblCellMar>
        <w:left w:w="115" w:type="dxa"/>
        <w:right w:w="115" w:type="dxa"/>
      </w:tblCellMar>
    </w:tblPr>
  </w:style>
  <w:style w:type="table" w:customStyle="1" w:styleId="aff7">
    <w:basedOn w:val="TableNormal"/>
    <w:pPr>
      <w:spacing w:line="240" w:lineRule="auto"/>
    </w:pPr>
    <w:tblPr>
      <w:tblStyleRowBandSize w:val="1"/>
      <w:tblStyleColBandSize w:val="1"/>
      <w:tblCellMar>
        <w:left w:w="115" w:type="dxa"/>
        <w:right w:w="115" w:type="dxa"/>
      </w:tblCellMar>
    </w:tblPr>
  </w:style>
  <w:style w:type="table" w:customStyle="1" w:styleId="aff8">
    <w:basedOn w:val="TableNormal"/>
    <w:pPr>
      <w:spacing w:line="240" w:lineRule="auto"/>
    </w:pPr>
    <w:tblPr>
      <w:tblStyleRowBandSize w:val="1"/>
      <w:tblStyleColBandSize w:val="1"/>
      <w:tblCellMar>
        <w:left w:w="115" w:type="dxa"/>
        <w:right w:w="115" w:type="dxa"/>
      </w:tblCellMar>
    </w:tblPr>
  </w:style>
  <w:style w:type="table" w:customStyle="1" w:styleId="aff9">
    <w:basedOn w:val="TableNormal"/>
    <w:pPr>
      <w:spacing w:line="240" w:lineRule="auto"/>
    </w:pPr>
    <w:tblPr>
      <w:tblStyleRowBandSize w:val="1"/>
      <w:tblStyleColBandSize w:val="1"/>
      <w:tblCellMar>
        <w:left w:w="115" w:type="dxa"/>
        <w:right w:w="115" w:type="dxa"/>
      </w:tblCellMar>
    </w:tblPr>
  </w:style>
  <w:style w:type="table" w:customStyle="1" w:styleId="affa">
    <w:basedOn w:val="TableNormal"/>
    <w:pPr>
      <w:spacing w:line="240" w:lineRule="auto"/>
    </w:pPr>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top w:w="144" w:type="dxa"/>
        <w:left w:w="115" w:type="dxa"/>
        <w:bottom w:w="144" w:type="dxa"/>
        <w:right w:w="115" w:type="dxa"/>
      </w:tblCellMar>
    </w:tblPr>
  </w:style>
  <w:style w:type="paragraph" w:styleId="En-tte">
    <w:name w:val="header"/>
    <w:basedOn w:val="Normal"/>
    <w:link w:val="En-tteCar"/>
    <w:uiPriority w:val="99"/>
    <w:unhideWhenUsed/>
    <w:rsid w:val="00180099"/>
    <w:pPr>
      <w:tabs>
        <w:tab w:val="center" w:pos="4536"/>
        <w:tab w:val="right" w:pos="9072"/>
      </w:tabs>
      <w:spacing w:before="0" w:line="240" w:lineRule="auto"/>
    </w:pPr>
  </w:style>
  <w:style w:type="character" w:customStyle="1" w:styleId="En-tteCar">
    <w:name w:val="En-tête Car"/>
    <w:basedOn w:val="Policepardfaut"/>
    <w:link w:val="En-tte"/>
    <w:uiPriority w:val="99"/>
    <w:rsid w:val="00180099"/>
  </w:style>
  <w:style w:type="paragraph" w:styleId="Pieddepage">
    <w:name w:val="footer"/>
    <w:basedOn w:val="Normal"/>
    <w:link w:val="PieddepageCar"/>
    <w:uiPriority w:val="99"/>
    <w:unhideWhenUsed/>
    <w:rsid w:val="00180099"/>
    <w:pPr>
      <w:tabs>
        <w:tab w:val="center" w:pos="4536"/>
        <w:tab w:val="right" w:pos="9072"/>
      </w:tabs>
      <w:spacing w:before="0" w:line="240" w:lineRule="auto"/>
    </w:pPr>
  </w:style>
  <w:style w:type="character" w:customStyle="1" w:styleId="PieddepageCar">
    <w:name w:val="Pied de page Car"/>
    <w:basedOn w:val="Policepardfaut"/>
    <w:link w:val="Pieddepage"/>
    <w:uiPriority w:val="99"/>
    <w:rsid w:val="00180099"/>
  </w:style>
  <w:style w:type="character" w:customStyle="1" w:styleId="Textedelespacerserv">
    <w:name w:val="Texte de l’espace réservé"/>
    <w:basedOn w:val="Policepardfaut"/>
    <w:uiPriority w:val="99"/>
    <w:semiHidden/>
    <w:rsid w:val="003566ED"/>
    <w:rPr>
      <w:color w:val="808080"/>
    </w:rPr>
  </w:style>
  <w:style w:type="paragraph" w:styleId="Paragraphedeliste">
    <w:name w:val="List Paragraph"/>
    <w:basedOn w:val="Normal"/>
    <w:uiPriority w:val="34"/>
    <w:qFormat/>
    <w:rsid w:val="00EF3403"/>
    <w:pPr>
      <w:ind w:left="720"/>
      <w:contextualSpacing/>
    </w:pPr>
  </w:style>
  <w:style w:type="paragraph" w:styleId="Textedebulles">
    <w:name w:val="Balloon Text"/>
    <w:basedOn w:val="Normal"/>
    <w:link w:val="TextedebullesCar"/>
    <w:uiPriority w:val="99"/>
    <w:semiHidden/>
    <w:unhideWhenUsed/>
    <w:rsid w:val="00101B53"/>
    <w:pPr>
      <w:spacing w:before="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01B5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fr-FR" w:eastAsia="fr-FR" w:bidi="ar-SA"/>
      </w:rPr>
    </w:rPrDefault>
    <w:pPrDefault>
      <w:pPr>
        <w:spacing w:before="120" w:line="30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itre1">
    <w:name w:val="heading 1"/>
    <w:basedOn w:val="Normal"/>
    <w:next w:val="Normal"/>
    <w:pPr>
      <w:keepNext/>
      <w:keepLines/>
      <w:spacing w:before="240" w:after="240" w:line="240" w:lineRule="auto"/>
      <w:jc w:val="center"/>
      <w:outlineLvl w:val="0"/>
    </w:pPr>
    <w:rPr>
      <w:rFonts w:ascii="Yu Gothic" w:eastAsia="Yu Gothic" w:hAnsi="Yu Gothic" w:cs="Yu Gothic"/>
      <w:b/>
      <w:color w:val="808080"/>
      <w:sz w:val="28"/>
      <w:szCs w:val="28"/>
    </w:rPr>
  </w:style>
  <w:style w:type="paragraph" w:styleId="Titre2">
    <w:name w:val="heading 2"/>
    <w:basedOn w:val="Normal"/>
    <w:next w:val="Normal"/>
    <w:pPr>
      <w:keepNext/>
      <w:keepLines/>
      <w:spacing w:after="240" w:line="240" w:lineRule="auto"/>
      <w:outlineLvl w:val="1"/>
    </w:pPr>
    <w:rPr>
      <w:rFonts w:ascii="Yu Gothic" w:eastAsia="Yu Gothic" w:hAnsi="Yu Gothic" w:cs="Yu Gothic"/>
      <w:b/>
      <w:color w:val="366091"/>
      <w:sz w:val="26"/>
      <w:szCs w:val="26"/>
    </w:rPr>
  </w:style>
  <w:style w:type="paragraph" w:styleId="Titre3">
    <w:name w:val="heading 3"/>
    <w:basedOn w:val="Normal"/>
    <w:next w:val="Normal"/>
    <w:pPr>
      <w:keepNext/>
      <w:keepLines/>
      <w:spacing w:before="40"/>
      <w:outlineLvl w:val="2"/>
    </w:pPr>
    <w:rPr>
      <w:rFonts w:ascii="Cambria" w:eastAsia="Cambria" w:hAnsi="Cambria" w:cs="Cambria"/>
      <w:color w:val="243F61"/>
      <w:sz w:val="24"/>
      <w:szCs w:val="24"/>
    </w:rPr>
  </w:style>
  <w:style w:type="paragraph" w:styleId="Titre4">
    <w:name w:val="heading 4"/>
    <w:basedOn w:val="Normal"/>
    <w:next w:val="Normal"/>
    <w:pPr>
      <w:keepNext/>
      <w:keepLines/>
      <w:spacing w:before="40"/>
      <w:outlineLvl w:val="3"/>
    </w:pPr>
    <w:rPr>
      <w:rFonts w:ascii="Cambria" w:eastAsia="Cambria" w:hAnsi="Cambria" w:cs="Cambria"/>
      <w:i/>
      <w:color w:val="366091"/>
    </w:rPr>
  </w:style>
  <w:style w:type="paragraph" w:styleId="Titre5">
    <w:name w:val="heading 5"/>
    <w:basedOn w:val="Normal"/>
    <w:next w:val="Normal"/>
    <w:pPr>
      <w:keepNext/>
      <w:keepLines/>
      <w:spacing w:before="220" w:after="40"/>
      <w:contextualSpacing/>
      <w:outlineLvl w:val="4"/>
    </w:pPr>
    <w:rPr>
      <w:b/>
    </w:rPr>
  </w:style>
  <w:style w:type="paragraph" w:styleId="Titre6">
    <w:name w:val="heading 6"/>
    <w:basedOn w:val="Normal"/>
    <w:next w:val="Normal"/>
    <w:pPr>
      <w:keepNext/>
      <w:keepLines/>
      <w:spacing w:before="200" w:after="40"/>
      <w:contextualSpacing/>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before="480" w:after="120"/>
      <w:contextualSpacing/>
    </w:pPr>
    <w:rPr>
      <w:b/>
      <w:sz w:val="72"/>
      <w:szCs w:val="72"/>
    </w:rPr>
  </w:style>
  <w:style w:type="paragraph" w:styleId="Sous-titre">
    <w:name w:val="Subtitle"/>
    <w:basedOn w:val="Normal"/>
    <w:next w:val="Normal"/>
    <w:pPr>
      <w:keepNext/>
      <w:keepLines/>
      <w:spacing w:after="160"/>
    </w:pPr>
    <w:rPr>
      <w:rFonts w:ascii="Calibri" w:eastAsia="Calibri" w:hAnsi="Calibri" w:cs="Calibri"/>
      <w:i/>
      <w:color w:val="666666"/>
    </w:rPr>
  </w:style>
  <w:style w:type="table" w:customStyle="1" w:styleId="a">
    <w:basedOn w:val="TableNormal"/>
    <w:pPr>
      <w:spacing w:line="240" w:lineRule="auto"/>
    </w:pPr>
    <w:tblPr>
      <w:tblStyleRowBandSize w:val="1"/>
      <w:tblStyleColBandSize w:val="1"/>
      <w:tblCellMar>
        <w:left w:w="115" w:type="dxa"/>
        <w:right w:w="115" w:type="dxa"/>
      </w:tblCellMar>
    </w:tblPr>
  </w:style>
  <w:style w:type="table" w:customStyle="1" w:styleId="a0">
    <w:basedOn w:val="TableNormal"/>
    <w:pPr>
      <w:spacing w:line="240" w:lineRule="auto"/>
    </w:pPr>
    <w:tblPr>
      <w:tblStyleRowBandSize w:val="1"/>
      <w:tblStyleColBandSize w:val="1"/>
      <w:tblCellMar>
        <w:left w:w="115" w:type="dxa"/>
        <w:right w:w="115" w:type="dxa"/>
      </w:tblCellMar>
    </w:tblPr>
  </w:style>
  <w:style w:type="table" w:customStyle="1" w:styleId="a1">
    <w:basedOn w:val="TableNormal"/>
    <w:pPr>
      <w:spacing w:line="240" w:lineRule="auto"/>
    </w:pPr>
    <w:tblPr>
      <w:tblStyleRowBandSize w:val="1"/>
      <w:tblStyleColBandSize w:val="1"/>
      <w:tblCellMar>
        <w:left w:w="115" w:type="dxa"/>
        <w:right w:w="115" w:type="dxa"/>
      </w:tblCellMar>
    </w:tblPr>
  </w:style>
  <w:style w:type="table" w:customStyle="1" w:styleId="a2">
    <w:basedOn w:val="TableNormal"/>
    <w:pPr>
      <w:spacing w:line="240" w:lineRule="auto"/>
    </w:pPr>
    <w:tblPr>
      <w:tblStyleRowBandSize w:val="1"/>
      <w:tblStyleColBandSize w:val="1"/>
      <w:tblCellMar>
        <w:left w:w="115" w:type="dxa"/>
        <w:right w:w="115" w:type="dxa"/>
      </w:tblCellMar>
    </w:tblPr>
  </w:style>
  <w:style w:type="table" w:customStyle="1" w:styleId="a3">
    <w:basedOn w:val="TableNormal"/>
    <w:pPr>
      <w:spacing w:line="240" w:lineRule="auto"/>
    </w:pPr>
    <w:tblPr>
      <w:tblStyleRowBandSize w:val="1"/>
      <w:tblStyleColBandSize w:val="1"/>
      <w:tblCellMar>
        <w:left w:w="115" w:type="dxa"/>
        <w:right w:w="115" w:type="dxa"/>
      </w:tblCellMar>
    </w:tblPr>
  </w:style>
  <w:style w:type="table" w:customStyle="1" w:styleId="a4">
    <w:basedOn w:val="TableNormal"/>
    <w:pPr>
      <w:spacing w:line="240" w:lineRule="auto"/>
    </w:pPr>
    <w:tblPr>
      <w:tblStyleRowBandSize w:val="1"/>
      <w:tblStyleColBandSize w:val="1"/>
      <w:tblCellMar>
        <w:left w:w="115" w:type="dxa"/>
        <w:right w:w="115" w:type="dxa"/>
      </w:tblCellMar>
    </w:tblPr>
  </w:style>
  <w:style w:type="table" w:customStyle="1" w:styleId="a5">
    <w:basedOn w:val="TableNormal"/>
    <w:pPr>
      <w:spacing w:line="240" w:lineRule="auto"/>
    </w:pPr>
    <w:tblPr>
      <w:tblStyleRowBandSize w:val="1"/>
      <w:tblStyleColBandSize w:val="1"/>
      <w:tblCellMar>
        <w:left w:w="115" w:type="dxa"/>
        <w:right w:w="115" w:type="dxa"/>
      </w:tblCellMar>
    </w:tblPr>
  </w:style>
  <w:style w:type="table" w:customStyle="1" w:styleId="a6">
    <w:basedOn w:val="TableNormal"/>
    <w:pPr>
      <w:spacing w:line="240" w:lineRule="auto"/>
    </w:pPr>
    <w:tblPr>
      <w:tblStyleRowBandSize w:val="1"/>
      <w:tblStyleColBandSize w:val="1"/>
      <w:tblCellMar>
        <w:left w:w="115" w:type="dxa"/>
        <w:right w:w="115" w:type="dxa"/>
      </w:tblCellMar>
    </w:tblPr>
  </w:style>
  <w:style w:type="table" w:customStyle="1" w:styleId="a7">
    <w:basedOn w:val="TableNormal"/>
    <w:pPr>
      <w:spacing w:line="240" w:lineRule="auto"/>
    </w:pPr>
    <w:tblPr>
      <w:tblStyleRowBandSize w:val="1"/>
      <w:tblStyleColBandSize w:val="1"/>
      <w:tblCellMar>
        <w:left w:w="115" w:type="dxa"/>
        <w:right w:w="115" w:type="dxa"/>
      </w:tblCellMar>
    </w:tblPr>
  </w:style>
  <w:style w:type="table" w:customStyle="1" w:styleId="a8">
    <w:basedOn w:val="TableNormal"/>
    <w:pPr>
      <w:spacing w:line="240" w:lineRule="auto"/>
    </w:pPr>
    <w:tblPr>
      <w:tblStyleRowBandSize w:val="1"/>
      <w:tblStyleColBandSize w:val="1"/>
      <w:tblCellMar>
        <w:left w:w="115" w:type="dxa"/>
        <w:right w:w="115" w:type="dxa"/>
      </w:tblCellMar>
    </w:tblPr>
  </w:style>
  <w:style w:type="table" w:customStyle="1" w:styleId="a9">
    <w:basedOn w:val="TableNormal"/>
    <w:pPr>
      <w:spacing w:line="240" w:lineRule="auto"/>
    </w:pPr>
    <w:tblPr>
      <w:tblStyleRowBandSize w:val="1"/>
      <w:tblStyleColBandSize w:val="1"/>
      <w:tblCellMar>
        <w:left w:w="115" w:type="dxa"/>
        <w:right w:w="115" w:type="dxa"/>
      </w:tblCellMar>
    </w:tblPr>
  </w:style>
  <w:style w:type="table" w:customStyle="1" w:styleId="aa">
    <w:basedOn w:val="TableNormal"/>
    <w:pPr>
      <w:spacing w:line="240" w:lineRule="auto"/>
    </w:pPr>
    <w:tblPr>
      <w:tblStyleRowBandSize w:val="1"/>
      <w:tblStyleColBandSize w:val="1"/>
      <w:tblCellMar>
        <w:left w:w="115" w:type="dxa"/>
        <w:right w:w="115" w:type="dxa"/>
      </w:tblCellMar>
    </w:tblPr>
  </w:style>
  <w:style w:type="table" w:customStyle="1" w:styleId="ab">
    <w:basedOn w:val="TableNormal"/>
    <w:pPr>
      <w:spacing w:line="240" w:lineRule="auto"/>
    </w:pPr>
    <w:tblPr>
      <w:tblStyleRowBandSize w:val="1"/>
      <w:tblStyleColBandSize w:val="1"/>
      <w:tblCellMar>
        <w:left w:w="115" w:type="dxa"/>
        <w:right w:w="115" w:type="dxa"/>
      </w:tblCellMar>
    </w:tblPr>
  </w:style>
  <w:style w:type="table" w:customStyle="1" w:styleId="ac">
    <w:basedOn w:val="TableNormal"/>
    <w:pPr>
      <w:spacing w:line="240" w:lineRule="auto"/>
    </w:pPr>
    <w:tblPr>
      <w:tblStyleRowBandSize w:val="1"/>
      <w:tblStyleColBandSize w:val="1"/>
      <w:tblCellMar>
        <w:left w:w="115" w:type="dxa"/>
        <w:right w:w="115" w:type="dxa"/>
      </w:tblCellMar>
    </w:tblPr>
  </w:style>
  <w:style w:type="table" w:customStyle="1" w:styleId="ad">
    <w:basedOn w:val="TableNormal"/>
    <w:pPr>
      <w:spacing w:line="240" w:lineRule="auto"/>
    </w:pPr>
    <w:tblPr>
      <w:tblStyleRowBandSize w:val="1"/>
      <w:tblStyleColBandSize w:val="1"/>
      <w:tblCellMar>
        <w:left w:w="115" w:type="dxa"/>
        <w:right w:w="115" w:type="dxa"/>
      </w:tblCellMar>
    </w:tblPr>
  </w:style>
  <w:style w:type="table" w:customStyle="1" w:styleId="ae">
    <w:basedOn w:val="TableNormal"/>
    <w:pPr>
      <w:spacing w:line="240" w:lineRule="auto"/>
    </w:pPr>
    <w:tblPr>
      <w:tblStyleRowBandSize w:val="1"/>
      <w:tblStyleColBandSize w:val="1"/>
      <w:tblCellMar>
        <w:left w:w="115" w:type="dxa"/>
        <w:right w:w="115" w:type="dxa"/>
      </w:tblCellMar>
    </w:tblPr>
  </w:style>
  <w:style w:type="table" w:customStyle="1" w:styleId="af">
    <w:basedOn w:val="TableNormal"/>
    <w:pPr>
      <w:spacing w:line="240" w:lineRule="auto"/>
    </w:pPr>
    <w:tblPr>
      <w:tblStyleRowBandSize w:val="1"/>
      <w:tblStyleColBandSize w:val="1"/>
      <w:tblCellMar>
        <w:left w:w="115" w:type="dxa"/>
        <w:right w:w="115" w:type="dxa"/>
      </w:tblCellMar>
    </w:tblPr>
  </w:style>
  <w:style w:type="table" w:customStyle="1" w:styleId="af0">
    <w:basedOn w:val="TableNormal"/>
    <w:pPr>
      <w:spacing w:line="240" w:lineRule="auto"/>
    </w:pPr>
    <w:tblPr>
      <w:tblStyleRowBandSize w:val="1"/>
      <w:tblStyleColBandSize w:val="1"/>
      <w:tblCellMar>
        <w:left w:w="115" w:type="dxa"/>
        <w:right w:w="115" w:type="dxa"/>
      </w:tblCellMar>
    </w:tblPr>
  </w:style>
  <w:style w:type="table" w:customStyle="1" w:styleId="af1">
    <w:basedOn w:val="TableNormal"/>
    <w:pPr>
      <w:spacing w:line="240" w:lineRule="auto"/>
    </w:pPr>
    <w:tblPr>
      <w:tblStyleRowBandSize w:val="1"/>
      <w:tblStyleColBandSize w:val="1"/>
      <w:tblCellMar>
        <w:left w:w="115" w:type="dxa"/>
        <w:right w:w="115" w:type="dxa"/>
      </w:tblCellMar>
    </w:tblPr>
  </w:style>
  <w:style w:type="table" w:customStyle="1" w:styleId="af2">
    <w:basedOn w:val="TableNormal"/>
    <w:pPr>
      <w:spacing w:line="240" w:lineRule="auto"/>
    </w:pPr>
    <w:tblPr>
      <w:tblStyleRowBandSize w:val="1"/>
      <w:tblStyleColBandSize w:val="1"/>
      <w:tblCellMar>
        <w:left w:w="115" w:type="dxa"/>
        <w:right w:w="115" w:type="dxa"/>
      </w:tblCellMar>
    </w:tblPr>
  </w:style>
  <w:style w:type="table" w:customStyle="1" w:styleId="af3">
    <w:basedOn w:val="TableNormal"/>
    <w:pPr>
      <w:spacing w:line="240" w:lineRule="auto"/>
    </w:pPr>
    <w:tblPr>
      <w:tblStyleRowBandSize w:val="1"/>
      <w:tblStyleColBandSize w:val="1"/>
      <w:tblCellMar>
        <w:left w:w="115" w:type="dxa"/>
        <w:right w:w="115" w:type="dxa"/>
      </w:tblCellMar>
    </w:tblPr>
  </w:style>
  <w:style w:type="table" w:customStyle="1" w:styleId="af4">
    <w:basedOn w:val="TableNormal"/>
    <w:pPr>
      <w:spacing w:line="240" w:lineRule="auto"/>
    </w:pPr>
    <w:tblPr>
      <w:tblStyleRowBandSize w:val="1"/>
      <w:tblStyleColBandSize w:val="1"/>
      <w:tblCellMar>
        <w:left w:w="115" w:type="dxa"/>
        <w:right w:w="115" w:type="dxa"/>
      </w:tblCellMar>
    </w:tblPr>
  </w:style>
  <w:style w:type="table" w:customStyle="1" w:styleId="af5">
    <w:basedOn w:val="TableNormal"/>
    <w:pPr>
      <w:spacing w:line="240" w:lineRule="auto"/>
    </w:pPr>
    <w:tblPr>
      <w:tblStyleRowBandSize w:val="1"/>
      <w:tblStyleColBandSize w:val="1"/>
      <w:tblCellMar>
        <w:left w:w="115" w:type="dxa"/>
        <w:right w:w="115" w:type="dxa"/>
      </w:tblCellMar>
    </w:tblPr>
  </w:style>
  <w:style w:type="table" w:customStyle="1" w:styleId="af6">
    <w:basedOn w:val="TableNormal"/>
    <w:pPr>
      <w:spacing w:line="240" w:lineRule="auto"/>
    </w:pPr>
    <w:tblPr>
      <w:tblStyleRowBandSize w:val="1"/>
      <w:tblStyleColBandSize w:val="1"/>
      <w:tblCellMar>
        <w:left w:w="115" w:type="dxa"/>
        <w:right w:w="115" w:type="dxa"/>
      </w:tblCellMar>
    </w:tblPr>
  </w:style>
  <w:style w:type="table" w:customStyle="1" w:styleId="af7">
    <w:basedOn w:val="TableNormal"/>
    <w:pPr>
      <w:spacing w:line="240" w:lineRule="auto"/>
    </w:pPr>
    <w:tblPr>
      <w:tblStyleRowBandSize w:val="1"/>
      <w:tblStyleColBandSize w:val="1"/>
      <w:tblCellMar>
        <w:left w:w="115" w:type="dxa"/>
        <w:right w:w="115" w:type="dxa"/>
      </w:tblCellMar>
    </w:tblPr>
  </w:style>
  <w:style w:type="table" w:customStyle="1" w:styleId="af8">
    <w:basedOn w:val="TableNormal"/>
    <w:pPr>
      <w:spacing w:line="240" w:lineRule="auto"/>
    </w:pPr>
    <w:tblPr>
      <w:tblStyleRowBandSize w:val="1"/>
      <w:tblStyleColBandSize w:val="1"/>
      <w:tblCellMar>
        <w:left w:w="115" w:type="dxa"/>
        <w:right w:w="115" w:type="dxa"/>
      </w:tblCellMar>
    </w:tblPr>
  </w:style>
  <w:style w:type="table" w:customStyle="1" w:styleId="af9">
    <w:basedOn w:val="TableNormal"/>
    <w:pPr>
      <w:spacing w:line="240" w:lineRule="auto"/>
    </w:pPr>
    <w:tblPr>
      <w:tblStyleRowBandSize w:val="1"/>
      <w:tblStyleColBandSize w:val="1"/>
      <w:tblCellMar>
        <w:left w:w="115" w:type="dxa"/>
        <w:right w:w="115" w:type="dxa"/>
      </w:tblCellMar>
    </w:tblPr>
  </w:style>
  <w:style w:type="table" w:customStyle="1" w:styleId="afa">
    <w:basedOn w:val="TableNormal"/>
    <w:pPr>
      <w:spacing w:line="240" w:lineRule="auto"/>
    </w:pPr>
    <w:tblPr>
      <w:tblStyleRowBandSize w:val="1"/>
      <w:tblStyleColBandSize w:val="1"/>
      <w:tblCellMar>
        <w:left w:w="115" w:type="dxa"/>
        <w:right w:w="115" w:type="dxa"/>
      </w:tblCellMar>
    </w:tblPr>
  </w:style>
  <w:style w:type="table" w:customStyle="1" w:styleId="afb">
    <w:basedOn w:val="TableNormal"/>
    <w:pPr>
      <w:spacing w:line="240" w:lineRule="auto"/>
    </w:pPr>
    <w:tblPr>
      <w:tblStyleRowBandSize w:val="1"/>
      <w:tblStyleColBandSize w:val="1"/>
      <w:tblCellMar>
        <w:left w:w="115" w:type="dxa"/>
        <w:right w:w="115" w:type="dxa"/>
      </w:tblCellMar>
    </w:tblPr>
  </w:style>
  <w:style w:type="table" w:customStyle="1" w:styleId="afc">
    <w:basedOn w:val="TableNormal"/>
    <w:pPr>
      <w:spacing w:line="240" w:lineRule="auto"/>
    </w:pPr>
    <w:tblPr>
      <w:tblStyleRowBandSize w:val="1"/>
      <w:tblStyleColBandSize w:val="1"/>
      <w:tblCellMar>
        <w:left w:w="115" w:type="dxa"/>
        <w:right w:w="115" w:type="dxa"/>
      </w:tblCellMar>
    </w:tblPr>
  </w:style>
  <w:style w:type="table" w:customStyle="1" w:styleId="afd">
    <w:basedOn w:val="TableNormal"/>
    <w:pPr>
      <w:spacing w:line="240" w:lineRule="auto"/>
    </w:pPr>
    <w:tblPr>
      <w:tblStyleRowBandSize w:val="1"/>
      <w:tblStyleColBandSize w:val="1"/>
      <w:tblCellMar>
        <w:left w:w="115" w:type="dxa"/>
        <w:right w:w="115" w:type="dxa"/>
      </w:tblCellMar>
    </w:tblPr>
  </w:style>
  <w:style w:type="table" w:customStyle="1" w:styleId="afe">
    <w:basedOn w:val="TableNormal"/>
    <w:pPr>
      <w:spacing w:line="240" w:lineRule="auto"/>
    </w:pPr>
    <w:tblPr>
      <w:tblStyleRowBandSize w:val="1"/>
      <w:tblStyleColBandSize w:val="1"/>
      <w:tblCellMar>
        <w:left w:w="115" w:type="dxa"/>
        <w:right w:w="115" w:type="dxa"/>
      </w:tblCellMar>
    </w:tblPr>
  </w:style>
  <w:style w:type="table" w:customStyle="1" w:styleId="aff">
    <w:basedOn w:val="TableNormal"/>
    <w:pPr>
      <w:spacing w:line="240" w:lineRule="auto"/>
    </w:pPr>
    <w:tblPr>
      <w:tblStyleRowBandSize w:val="1"/>
      <w:tblStyleColBandSize w:val="1"/>
      <w:tblCellMar>
        <w:left w:w="115" w:type="dxa"/>
        <w:right w:w="115" w:type="dxa"/>
      </w:tblCellMar>
    </w:tblPr>
  </w:style>
  <w:style w:type="table" w:customStyle="1" w:styleId="aff0">
    <w:basedOn w:val="TableNormal"/>
    <w:pPr>
      <w:spacing w:line="240" w:lineRule="auto"/>
    </w:pPr>
    <w:tblPr>
      <w:tblStyleRowBandSize w:val="1"/>
      <w:tblStyleColBandSize w:val="1"/>
      <w:tblCellMar>
        <w:left w:w="115" w:type="dxa"/>
        <w:right w:w="115" w:type="dxa"/>
      </w:tblCellMar>
    </w:tblPr>
  </w:style>
  <w:style w:type="table" w:customStyle="1" w:styleId="aff1">
    <w:basedOn w:val="TableNormal"/>
    <w:pPr>
      <w:spacing w:line="240" w:lineRule="auto"/>
    </w:pPr>
    <w:tblPr>
      <w:tblStyleRowBandSize w:val="1"/>
      <w:tblStyleColBandSize w:val="1"/>
      <w:tblCellMar>
        <w:left w:w="115" w:type="dxa"/>
        <w:right w:w="115" w:type="dxa"/>
      </w:tblCellMar>
    </w:tblPr>
  </w:style>
  <w:style w:type="table" w:customStyle="1" w:styleId="aff2">
    <w:basedOn w:val="TableNormal"/>
    <w:pPr>
      <w:spacing w:line="240" w:lineRule="auto"/>
    </w:pPr>
    <w:tblPr>
      <w:tblStyleRowBandSize w:val="1"/>
      <w:tblStyleColBandSize w:val="1"/>
      <w:tblCellMar>
        <w:left w:w="115" w:type="dxa"/>
        <w:right w:w="115" w:type="dxa"/>
      </w:tblCellMar>
    </w:tblPr>
  </w:style>
  <w:style w:type="table" w:customStyle="1" w:styleId="aff3">
    <w:basedOn w:val="TableNormal"/>
    <w:pPr>
      <w:spacing w:line="240" w:lineRule="auto"/>
    </w:pPr>
    <w:tblPr>
      <w:tblStyleRowBandSize w:val="1"/>
      <w:tblStyleColBandSize w:val="1"/>
      <w:tblCellMar>
        <w:left w:w="115" w:type="dxa"/>
        <w:right w:w="115" w:type="dxa"/>
      </w:tblCellMar>
    </w:tblPr>
  </w:style>
  <w:style w:type="table" w:customStyle="1" w:styleId="aff4">
    <w:basedOn w:val="TableNormal"/>
    <w:pPr>
      <w:spacing w:line="240" w:lineRule="auto"/>
    </w:pPr>
    <w:tblPr>
      <w:tblStyleRowBandSize w:val="1"/>
      <w:tblStyleColBandSize w:val="1"/>
      <w:tblCellMar>
        <w:left w:w="115" w:type="dxa"/>
        <w:right w:w="115" w:type="dxa"/>
      </w:tblCellMar>
    </w:tblPr>
  </w:style>
  <w:style w:type="table" w:customStyle="1" w:styleId="aff5">
    <w:basedOn w:val="TableNormal"/>
    <w:pPr>
      <w:spacing w:line="240" w:lineRule="auto"/>
    </w:pPr>
    <w:tblPr>
      <w:tblStyleRowBandSize w:val="1"/>
      <w:tblStyleColBandSize w:val="1"/>
      <w:tblCellMar>
        <w:left w:w="115" w:type="dxa"/>
        <w:right w:w="115" w:type="dxa"/>
      </w:tblCellMar>
    </w:tblPr>
  </w:style>
  <w:style w:type="table" w:customStyle="1" w:styleId="aff6">
    <w:basedOn w:val="TableNormal"/>
    <w:pPr>
      <w:spacing w:line="240" w:lineRule="auto"/>
    </w:pPr>
    <w:tblPr>
      <w:tblStyleRowBandSize w:val="1"/>
      <w:tblStyleColBandSize w:val="1"/>
      <w:tblCellMar>
        <w:left w:w="115" w:type="dxa"/>
        <w:right w:w="115" w:type="dxa"/>
      </w:tblCellMar>
    </w:tblPr>
  </w:style>
  <w:style w:type="table" w:customStyle="1" w:styleId="aff7">
    <w:basedOn w:val="TableNormal"/>
    <w:pPr>
      <w:spacing w:line="240" w:lineRule="auto"/>
    </w:pPr>
    <w:tblPr>
      <w:tblStyleRowBandSize w:val="1"/>
      <w:tblStyleColBandSize w:val="1"/>
      <w:tblCellMar>
        <w:left w:w="115" w:type="dxa"/>
        <w:right w:w="115" w:type="dxa"/>
      </w:tblCellMar>
    </w:tblPr>
  </w:style>
  <w:style w:type="table" w:customStyle="1" w:styleId="aff8">
    <w:basedOn w:val="TableNormal"/>
    <w:pPr>
      <w:spacing w:line="240" w:lineRule="auto"/>
    </w:pPr>
    <w:tblPr>
      <w:tblStyleRowBandSize w:val="1"/>
      <w:tblStyleColBandSize w:val="1"/>
      <w:tblCellMar>
        <w:left w:w="115" w:type="dxa"/>
        <w:right w:w="115" w:type="dxa"/>
      </w:tblCellMar>
    </w:tblPr>
  </w:style>
  <w:style w:type="table" w:customStyle="1" w:styleId="aff9">
    <w:basedOn w:val="TableNormal"/>
    <w:pPr>
      <w:spacing w:line="240" w:lineRule="auto"/>
    </w:pPr>
    <w:tblPr>
      <w:tblStyleRowBandSize w:val="1"/>
      <w:tblStyleColBandSize w:val="1"/>
      <w:tblCellMar>
        <w:left w:w="115" w:type="dxa"/>
        <w:right w:w="115" w:type="dxa"/>
      </w:tblCellMar>
    </w:tblPr>
  </w:style>
  <w:style w:type="table" w:customStyle="1" w:styleId="affa">
    <w:basedOn w:val="TableNormal"/>
    <w:pPr>
      <w:spacing w:line="240" w:lineRule="auto"/>
    </w:pPr>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top w:w="144" w:type="dxa"/>
        <w:left w:w="115" w:type="dxa"/>
        <w:bottom w:w="144" w:type="dxa"/>
        <w:right w:w="115" w:type="dxa"/>
      </w:tblCellMar>
    </w:tblPr>
  </w:style>
  <w:style w:type="paragraph" w:styleId="En-tte">
    <w:name w:val="header"/>
    <w:basedOn w:val="Normal"/>
    <w:link w:val="En-tteCar"/>
    <w:uiPriority w:val="99"/>
    <w:unhideWhenUsed/>
    <w:rsid w:val="00180099"/>
    <w:pPr>
      <w:tabs>
        <w:tab w:val="center" w:pos="4536"/>
        <w:tab w:val="right" w:pos="9072"/>
      </w:tabs>
      <w:spacing w:before="0" w:line="240" w:lineRule="auto"/>
    </w:pPr>
  </w:style>
  <w:style w:type="character" w:customStyle="1" w:styleId="En-tteCar">
    <w:name w:val="En-tête Car"/>
    <w:basedOn w:val="Policepardfaut"/>
    <w:link w:val="En-tte"/>
    <w:uiPriority w:val="99"/>
    <w:rsid w:val="00180099"/>
  </w:style>
  <w:style w:type="paragraph" w:styleId="Pieddepage">
    <w:name w:val="footer"/>
    <w:basedOn w:val="Normal"/>
    <w:link w:val="PieddepageCar"/>
    <w:uiPriority w:val="99"/>
    <w:unhideWhenUsed/>
    <w:rsid w:val="00180099"/>
    <w:pPr>
      <w:tabs>
        <w:tab w:val="center" w:pos="4536"/>
        <w:tab w:val="right" w:pos="9072"/>
      </w:tabs>
      <w:spacing w:before="0" w:line="240" w:lineRule="auto"/>
    </w:pPr>
  </w:style>
  <w:style w:type="character" w:customStyle="1" w:styleId="PieddepageCar">
    <w:name w:val="Pied de page Car"/>
    <w:basedOn w:val="Policepardfaut"/>
    <w:link w:val="Pieddepage"/>
    <w:uiPriority w:val="99"/>
    <w:rsid w:val="00180099"/>
  </w:style>
  <w:style w:type="character" w:customStyle="1" w:styleId="Textedelespacerserv">
    <w:name w:val="Texte de l’espace réservé"/>
    <w:basedOn w:val="Policepardfaut"/>
    <w:uiPriority w:val="99"/>
    <w:semiHidden/>
    <w:rsid w:val="003566ED"/>
    <w:rPr>
      <w:color w:val="808080"/>
    </w:rPr>
  </w:style>
  <w:style w:type="paragraph" w:styleId="Paragraphedeliste">
    <w:name w:val="List Paragraph"/>
    <w:basedOn w:val="Normal"/>
    <w:uiPriority w:val="34"/>
    <w:qFormat/>
    <w:rsid w:val="00EF3403"/>
    <w:pPr>
      <w:ind w:left="720"/>
      <w:contextualSpacing/>
    </w:pPr>
  </w:style>
  <w:style w:type="paragraph" w:styleId="Textedebulles">
    <w:name w:val="Balloon Text"/>
    <w:basedOn w:val="Normal"/>
    <w:link w:val="TextedebullesCar"/>
    <w:uiPriority w:val="99"/>
    <w:semiHidden/>
    <w:unhideWhenUsed/>
    <w:rsid w:val="00101B53"/>
    <w:pPr>
      <w:spacing w:before="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01B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B3637-A090-4268-8A02-FF858EC60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7194</Words>
  <Characters>39570</Characters>
  <Application>Microsoft Office Word</Application>
  <DocSecurity>4</DocSecurity>
  <Lines>329</Lines>
  <Paragraphs>93</Paragraphs>
  <ScaleCrop>false</ScaleCrop>
  <HeadingPairs>
    <vt:vector size="2" baseType="variant">
      <vt:variant>
        <vt:lpstr>Titre</vt:lpstr>
      </vt:variant>
      <vt:variant>
        <vt:i4>1</vt:i4>
      </vt:variant>
    </vt:vector>
  </HeadingPairs>
  <TitlesOfParts>
    <vt:vector size="1" baseType="lpstr">
      <vt:lpstr/>
    </vt:vector>
  </TitlesOfParts>
  <Company>ARCEP</Company>
  <LinksUpToDate>false</LinksUpToDate>
  <CharactersWithSpaces>46671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FRABOULET Delphine</dc:creator>
  <cp:lastModifiedBy>Utilisateur Windows</cp:lastModifiedBy>
  <cp:revision>2</cp:revision>
  <dcterms:created xsi:type="dcterms:W3CDTF">2016-09-27T07:22:00Z</dcterms:created>
  <dcterms:modified xsi:type="dcterms:W3CDTF">2016-09-27T07:22:00Z</dcterms:modified>
</cp:coreProperties>
</file>